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EF" w:rsidRDefault="003B6701">
      <w:pPr>
        <w:jc w:val="center"/>
        <w:rPr>
          <w:rFonts w:ascii="Times New Roman" w:hAnsi="Times New Roman"/>
          <w:b/>
          <w:sz w:val="26"/>
          <w:szCs w:val="26"/>
        </w:rPr>
      </w:pPr>
      <w:r>
        <w:rPr>
          <w:rFonts w:ascii="Times New Roman" w:hAnsi="Times New Roman"/>
          <w:b/>
          <w:sz w:val="26"/>
          <w:szCs w:val="26"/>
        </w:rPr>
        <w:t>ΠΙΝΑΚΑΣ ΣΥΜΜΟΡΦΩΣΗΣ</w:t>
      </w:r>
    </w:p>
    <w:p w:rsidR="00D60AEF" w:rsidRDefault="00D60AEF">
      <w:pPr>
        <w:jc w:val="center"/>
        <w:rPr>
          <w:rFonts w:cs="Calibri"/>
          <w:b/>
          <w:bCs/>
          <w:sz w:val="26"/>
          <w:szCs w:val="26"/>
        </w:rPr>
      </w:pPr>
    </w:p>
    <w:tbl>
      <w:tblPr>
        <w:tblW w:w="9606" w:type="dxa"/>
        <w:tblLayout w:type="fixed"/>
        <w:tblLook w:val="04A0" w:firstRow="1" w:lastRow="0" w:firstColumn="1" w:lastColumn="0" w:noHBand="0" w:noVBand="1"/>
      </w:tblPr>
      <w:tblGrid>
        <w:gridCol w:w="4077"/>
        <w:gridCol w:w="1844"/>
        <w:gridCol w:w="1842"/>
        <w:gridCol w:w="1843"/>
      </w:tblGrid>
      <w:tr w:rsidR="00D60AEF" w:rsidTr="008D26BE">
        <w:trPr>
          <w:trHeight w:val="416"/>
        </w:trPr>
        <w:tc>
          <w:tcPr>
            <w:tcW w:w="4077"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ΤΕΧΝΙΚΕΣ ΠΡΟΔΙΑΓΡΑΦΕΣ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ΑΠΑΙΤΗΣΗ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ΑΠΑΝΤΗΣΗ</w:t>
            </w: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jc w:val="center"/>
              <w:rPr>
                <w:rFonts w:ascii="Arial" w:hAnsi="Arial"/>
                <w:b/>
                <w:bCs/>
                <w:sz w:val="18"/>
                <w:szCs w:val="18"/>
              </w:rPr>
            </w:pPr>
            <w:r>
              <w:rPr>
                <w:rFonts w:ascii="Arial" w:hAnsi="Arial"/>
                <w:b/>
                <w:bCs/>
                <w:sz w:val="18"/>
                <w:szCs w:val="18"/>
              </w:rPr>
              <w:t>ΠΑΡΑΠΟΜΠΗ</w:t>
            </w:r>
          </w:p>
        </w:tc>
      </w:tr>
      <w:tr w:rsidR="00D60AEF" w:rsidTr="008D26BE">
        <w:tc>
          <w:tcPr>
            <w:tcW w:w="9606" w:type="dxa"/>
            <w:gridSpan w:val="4"/>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hAnsi="Arial"/>
                <w:b/>
                <w:bCs/>
                <w:sz w:val="18"/>
                <w:szCs w:val="18"/>
                <w:u w:val="single"/>
              </w:rPr>
              <w:t xml:space="preserve">ΠΡΟΣΟΝΤΑ ΤΕΧΝΙΚΟΥ ΑΣΦΑΛΕΙΑΣ </w:t>
            </w:r>
            <w:r>
              <w:rPr>
                <w:rFonts w:ascii="Arial" w:hAnsi="Arial"/>
                <w:b/>
                <w:bCs/>
                <w:sz w:val="18"/>
                <w:szCs w:val="18"/>
              </w:rPr>
              <w:t>(με βάση τις διατάξεις του  άρθρου 11 και 12 του Ν.3850/2010 «Κώδικας Νόμων για την Υγεία και την Ασφάλεια των Εργαζομένων»)</w:t>
            </w:r>
          </w:p>
        </w:tc>
      </w:tr>
      <w:tr w:rsidR="00D60AEF" w:rsidTr="008D26BE">
        <w:tc>
          <w:tcPr>
            <w:tcW w:w="9606" w:type="dxa"/>
            <w:gridSpan w:val="4"/>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1"/>
                <w:numId w:val="4"/>
              </w:numPr>
              <w:tabs>
                <w:tab w:val="left" w:pos="709"/>
              </w:tabs>
              <w:ind w:left="709" w:hanging="567"/>
              <w:jc w:val="both"/>
              <w:rPr>
                <w:rFonts w:ascii="Arial" w:hAnsi="Arial"/>
                <w:sz w:val="18"/>
                <w:szCs w:val="18"/>
              </w:rPr>
            </w:pPr>
            <w:r>
              <w:rPr>
                <w:rFonts w:ascii="Arial" w:eastAsia="MgHelveticaUCPol" w:hAnsi="Arial"/>
                <w:sz w:val="18"/>
                <w:szCs w:val="18"/>
              </w:rPr>
              <w:t>Ο τεχνικός ασφάλειας πρέπει να έχει τα παρακάτω προσόντα, ανάλογα με το είδος της επιχείρησης και τον αριθμό των εργαζομένων σε αυτή:</w:t>
            </w: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7"/>
              </w:numPr>
              <w:tabs>
                <w:tab w:val="clear" w:pos="720"/>
                <w:tab w:val="left" w:pos="426"/>
              </w:tabs>
              <w:jc w:val="both"/>
              <w:rPr>
                <w:rFonts w:ascii="Arial" w:hAnsi="Arial"/>
                <w:sz w:val="18"/>
                <w:szCs w:val="18"/>
              </w:rPr>
            </w:pPr>
            <w:bookmarkStart w:id="0" w:name="_GoBack"/>
            <w:bookmarkEnd w:id="0"/>
            <w:r>
              <w:rPr>
                <w:rFonts w:ascii="Arial" w:eastAsia="MgHelveticaUCPol" w:hAnsi="Arial"/>
                <w:sz w:val="18"/>
                <w:szCs w:val="18"/>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p w:rsidR="00D60AEF" w:rsidRDefault="003B6701">
            <w:pPr>
              <w:widowControl w:val="0"/>
              <w:numPr>
                <w:ilvl w:val="0"/>
                <w:numId w:val="4"/>
              </w:numPr>
              <w:tabs>
                <w:tab w:val="clear" w:pos="720"/>
                <w:tab w:val="left" w:pos="426"/>
              </w:tabs>
              <w:jc w:val="both"/>
              <w:rPr>
                <w:rFonts w:ascii="Arial" w:hAnsi="Arial"/>
                <w:sz w:val="18"/>
                <w:szCs w:val="18"/>
              </w:rPr>
            </w:pPr>
            <w:r>
              <w:rPr>
                <w:rFonts w:ascii="Arial" w:eastAsia="MgHelveticaUCPol" w:hAnsi="Arial"/>
                <w:sz w:val="18"/>
                <w:szCs w:val="18"/>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rsidR="00D60AEF" w:rsidRDefault="003B6701">
            <w:pPr>
              <w:widowControl w:val="0"/>
              <w:numPr>
                <w:ilvl w:val="0"/>
                <w:numId w:val="4"/>
              </w:numPr>
              <w:tabs>
                <w:tab w:val="clear" w:pos="720"/>
                <w:tab w:val="left" w:pos="426"/>
              </w:tabs>
              <w:jc w:val="both"/>
              <w:rPr>
                <w:rFonts w:ascii="Arial" w:eastAsia="MgHelveticaUCPol" w:hAnsi="Arial"/>
                <w:sz w:val="18"/>
                <w:szCs w:val="18"/>
              </w:rPr>
            </w:pPr>
            <w:r>
              <w:rPr>
                <w:rFonts w:ascii="Arial" w:eastAsia="MgHelveticaUCPol" w:hAnsi="Arial"/>
                <w:sz w:val="18"/>
                <w:szCs w:val="18"/>
              </w:rPr>
              <w:t>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rsidR="00D60AEF" w:rsidRDefault="003B6701">
            <w:pPr>
              <w:widowControl w:val="0"/>
              <w:numPr>
                <w:ilvl w:val="0"/>
                <w:numId w:val="4"/>
              </w:numPr>
              <w:tabs>
                <w:tab w:val="clear" w:pos="720"/>
                <w:tab w:val="left" w:pos="426"/>
              </w:tabs>
              <w:jc w:val="both"/>
              <w:rPr>
                <w:rFonts w:ascii="Arial" w:eastAsia="MgHelveticaUCPol" w:hAnsi="Arial"/>
                <w:sz w:val="18"/>
                <w:szCs w:val="18"/>
              </w:rPr>
            </w:pPr>
            <w:r>
              <w:rPr>
                <w:rFonts w:ascii="Arial" w:eastAsia="MgHelveticaUCPol" w:hAnsi="Arial"/>
                <w:sz w:val="18"/>
                <w:szCs w:val="18"/>
              </w:rPr>
              <w:t>απολυτήριο τεχνικού λυκείου ή μέσης τεχνικής σχολής ή άλλης αναγνωρισμένης τεχνικής επαγγελματικής σχολής του εσωτερικού ή ισότιμων σχολών του εξωτερικού ή άδεια άσκησης επαγγέλματος εμπειροτέχνη.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tabs>
                <w:tab w:val="left" w:pos="426"/>
              </w:tabs>
              <w:ind w:left="318"/>
              <w:jc w:val="center"/>
              <w:rPr>
                <w:rFonts w:ascii="Arial" w:hAnsi="Arial"/>
                <w:sz w:val="18"/>
                <w:szCs w:val="18"/>
              </w:rPr>
            </w:pPr>
            <w:r>
              <w:rPr>
                <w:rFonts w:ascii="Arial" w:hAnsi="Arial"/>
                <w:sz w:val="18"/>
                <w:szCs w:val="18"/>
              </w:rPr>
              <w:t>ΝΑΙ</w:t>
            </w:r>
          </w:p>
          <w:p w:rsidR="00651F8D" w:rsidRDefault="00651F8D">
            <w:pPr>
              <w:widowControl w:val="0"/>
              <w:tabs>
                <w:tab w:val="left" w:pos="426"/>
              </w:tabs>
              <w:ind w:left="318"/>
              <w:jc w:val="center"/>
              <w:rPr>
                <w:rFonts w:ascii="Arial" w:hAnsi="Arial"/>
                <w:sz w:val="18"/>
                <w:szCs w:val="18"/>
              </w:rPr>
            </w:pPr>
          </w:p>
          <w:p w:rsidR="00D60AEF" w:rsidRDefault="003B6701">
            <w:pPr>
              <w:widowControl w:val="0"/>
              <w:tabs>
                <w:tab w:val="left" w:pos="426"/>
              </w:tabs>
              <w:ind w:left="69" w:hanging="35"/>
              <w:jc w:val="center"/>
              <w:rPr>
                <w:rFonts w:ascii="Arial" w:hAnsi="Arial"/>
                <w:sz w:val="16"/>
                <w:szCs w:val="16"/>
              </w:rPr>
            </w:pPr>
            <w:r>
              <w:rPr>
                <w:rFonts w:ascii="Arial" w:hAnsi="Arial"/>
                <w:sz w:val="16"/>
                <w:szCs w:val="16"/>
              </w:rPr>
              <w:t>[</w:t>
            </w:r>
            <w:r>
              <w:rPr>
                <w:rFonts w:ascii="Arial" w:hAnsi="Arial" w:cs="Arial"/>
                <w:sz w:val="16"/>
                <w:szCs w:val="16"/>
              </w:rPr>
              <w:t xml:space="preserve">Σύμφωνα με την νομοθεσία το προσωπικό που εντάσσεται και στις τρεις κατηγορίες (Α΄, Β΄, Γ΄) στο </w:t>
            </w:r>
            <w:r>
              <w:rPr>
                <w:rFonts w:ascii="Arial" w:hAnsi="Arial" w:cs="Arial"/>
                <w:bCs/>
                <w:sz w:val="16"/>
                <w:szCs w:val="16"/>
              </w:rPr>
              <w:t>Γ.Ν.Θ. Ιπποκράτειο</w:t>
            </w:r>
            <w:r>
              <w:rPr>
                <w:rFonts w:ascii="Arial" w:hAnsi="Arial" w:cs="Arial"/>
                <w:sz w:val="16"/>
                <w:szCs w:val="16"/>
              </w:rPr>
              <w:t xml:space="preserve"> και το διασυνδεόμενο </w:t>
            </w:r>
            <w:r>
              <w:rPr>
                <w:rFonts w:ascii="Arial" w:hAnsi="Arial" w:cs="Arial"/>
                <w:bCs/>
                <w:sz w:val="16"/>
                <w:szCs w:val="16"/>
              </w:rPr>
              <w:t>Νοσοκομείο Αφροδισίων και Δερματικών Νόσων</w:t>
            </w:r>
            <w:r>
              <w:rPr>
                <w:rFonts w:ascii="Arial" w:hAnsi="Arial" w:cs="Arial"/>
                <w:sz w:val="16"/>
                <w:szCs w:val="16"/>
              </w:rPr>
              <w:t xml:space="preserve"> σήμερα είναι </w:t>
            </w:r>
            <w:r>
              <w:rPr>
                <w:rFonts w:ascii="Arial" w:hAnsi="Arial" w:cs="Arial"/>
                <w:bCs/>
                <w:sz w:val="16"/>
                <w:szCs w:val="16"/>
              </w:rPr>
              <w:t>2.059</w:t>
            </w:r>
            <w:r>
              <w:rPr>
                <w:rFonts w:ascii="Arial" w:hAnsi="Arial" w:cs="Arial"/>
                <w:sz w:val="16"/>
                <w:szCs w:val="16"/>
              </w:rPr>
              <w:t xml:space="preserve"> άτομα]</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tabs>
                <w:tab w:val="left" w:pos="426"/>
              </w:tabs>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tabs>
                <w:tab w:val="left" w:pos="426"/>
              </w:tabs>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tabs>
                <w:tab w:val="left" w:pos="426"/>
              </w:tabs>
              <w:jc w:val="both"/>
              <w:rPr>
                <w:rFonts w:ascii="Arial" w:eastAsia="MgHelveticaUCPol" w:hAnsi="Arial"/>
                <w:sz w:val="18"/>
                <w:szCs w:val="18"/>
              </w:rPr>
            </w:pPr>
            <w:r>
              <w:rPr>
                <w:rFonts w:ascii="Arial" w:eastAsia="MgHelveticaUCPol" w:hAnsi="Arial"/>
                <w:sz w:val="18"/>
                <w:szCs w:val="18"/>
              </w:rPr>
              <w:t xml:space="preserve">2.Προϋπηρεσία, που υπολογίζεται από την απόκτηση απολυτηρίου ή πτυχίου, για τους τεχνικούς των περιπτώσεων α΄ και β΄ της παραγράφου 1 τουλάχιστον διετή, για τους τεχνικούς της περίπτωσης γ΄ της παραγράφου 1 τουλάχιστον πενταετή και για τους τεχνικούς της περίπτωσης δ΄ της παραγράφου 1 τουλάχιστον οκταετή. </w:t>
            </w:r>
            <w:r>
              <w:rPr>
                <w:rFonts w:ascii="Arial" w:eastAsia="MgHelveticaUCPol" w:hAnsi="Arial"/>
                <w:sz w:val="18"/>
                <w:szCs w:val="18"/>
              </w:rPr>
              <w:tab/>
            </w:r>
            <w:r>
              <w:rPr>
                <w:rFonts w:ascii="Arial" w:eastAsia="MgHelveticaUCPol" w:hAnsi="Arial"/>
                <w:sz w:val="18"/>
                <w:szCs w:val="18"/>
              </w:rPr>
              <w:tab/>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 xml:space="preserve"> 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3.Για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(Ν.3850)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μειώνεται ως εξής: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 xml:space="preserve">α) για τους τεχνικούς των περιπτώσεων </w:t>
            </w:r>
            <w:proofErr w:type="spellStart"/>
            <w:r>
              <w:rPr>
                <w:rFonts w:ascii="Arial" w:eastAsia="MgHelveticaUCPol" w:hAnsi="Arial"/>
                <w:sz w:val="18"/>
                <w:szCs w:val="18"/>
              </w:rPr>
              <w:t>α΄και</w:t>
            </w:r>
            <w:proofErr w:type="spellEnd"/>
            <w:r>
              <w:rPr>
                <w:rFonts w:ascii="Arial" w:eastAsia="MgHelveticaUCPol" w:hAnsi="Arial"/>
                <w:sz w:val="18"/>
                <w:szCs w:val="18"/>
              </w:rPr>
              <w:t xml:space="preserve"> β΄ της παραγράφου 1 κατά ένα έτος,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eastAsia="MgHelveticaUCPol" w:hAnsi="Arial"/>
                <w:sz w:val="18"/>
                <w:szCs w:val="18"/>
              </w:rPr>
            </w:pPr>
            <w:r>
              <w:rPr>
                <w:rFonts w:ascii="Arial" w:eastAsia="MgHelveticaUCPol" w:hAnsi="Arial"/>
                <w:sz w:val="18"/>
                <w:szCs w:val="18"/>
              </w:rPr>
              <w:t>β) για τους τεχνικούς των περιπτώσεων γ΄ και δ΄ της παραγράφου 1 κατά τρία έτη.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5"/>
              </w:numPr>
              <w:ind w:left="0" w:firstLine="0"/>
              <w:jc w:val="both"/>
              <w:rPr>
                <w:rFonts w:ascii="Arial" w:eastAsia="MgHelveticaUCPol" w:hAnsi="Arial"/>
                <w:sz w:val="18"/>
                <w:szCs w:val="18"/>
              </w:rPr>
            </w:pPr>
            <w:r>
              <w:rPr>
                <w:rFonts w:ascii="Arial" w:eastAsia="MgHelveticaUCPol" w:hAnsi="Arial"/>
                <w:sz w:val="18"/>
                <w:szCs w:val="18"/>
              </w:rPr>
              <w:lastRenderedPageBreak/>
              <w:t>Κάτοχοι των παραπάνω προσόντων θεωρούνται και όσοι έχουν τίτλους ή πιστοποιητικά της αλλοδαπής, από τα οποία προκύπτει ότι είναι τεχνικοί ασφάλειας.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hAnsi="Arial" w:cs="Arial"/>
                <w:sz w:val="18"/>
                <w:szCs w:val="18"/>
              </w:rPr>
            </w:pPr>
            <w:r>
              <w:rPr>
                <w:rFonts w:ascii="Arial" w:eastAsia="MgHelveticaUCPol" w:hAnsi="Arial"/>
                <w:sz w:val="18"/>
                <w:szCs w:val="18"/>
              </w:rPr>
              <w:t>Ο τεχνικός ασφάλειας υπάγεται απευθείας στη διοίκηση του Νοσοκομείου.</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3B6701" w:rsidTr="008D26BE">
        <w:tc>
          <w:tcPr>
            <w:tcW w:w="4077" w:type="dxa"/>
            <w:tcBorders>
              <w:top w:val="single" w:sz="4" w:space="0" w:color="000000"/>
              <w:left w:val="single" w:sz="4" w:space="0" w:color="000000"/>
              <w:bottom w:val="single" w:sz="4" w:space="0" w:color="000000"/>
              <w:right w:val="single" w:sz="4" w:space="0" w:color="000000"/>
            </w:tcBorders>
          </w:tcPr>
          <w:p w:rsidR="003B6701" w:rsidRPr="003B6701" w:rsidRDefault="003B6701" w:rsidP="003B6701">
            <w:pPr>
              <w:pStyle w:val="a8"/>
              <w:numPr>
                <w:ilvl w:val="0"/>
                <w:numId w:val="5"/>
              </w:numPr>
              <w:rPr>
                <w:rFonts w:ascii="Arial" w:eastAsia="MgHelveticaUCPol" w:hAnsi="Arial"/>
                <w:sz w:val="18"/>
                <w:szCs w:val="18"/>
              </w:rPr>
            </w:pPr>
            <w:r w:rsidRPr="003B6701">
              <w:rPr>
                <w:rFonts w:ascii="Arial" w:eastAsia="MgHelveticaUCPol" w:hAnsi="Arial"/>
                <w:sz w:val="18"/>
                <w:szCs w:val="18"/>
              </w:rPr>
              <w:t>Με προεδρικά διατάγματα, που εκδίδονται με πρόταση του Υπουργού Εργασίας και Κοινωνικής Ασφάλισης και του κατά περίπτωση συναρμόδιου Υπουργού, ύστερα από γνώμη του Συμβουλίου Υγείας και Ασφάλειας των Εργαζομένων (Σ.Υ.Α.Ε.), καθορίζεται το συγκεκριμένο επίπεδο γνώσεων και η ειδικότητα του τεχνικού ασφάλειας, ανάλογα με τον αριθμό των εργαζομένων και το είδος της δραστηριότητας της επιχείρησης. Μετά προεδρικά διατάγματα αυτά είναι δυνατή η τροποποίηση των άρθρων 10, 12 και 13 του Ν.3850/2010</w:t>
            </w:r>
          </w:p>
        </w:tc>
        <w:tc>
          <w:tcPr>
            <w:tcW w:w="1844"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sz w:val="18"/>
                <w:szCs w:val="18"/>
              </w:rPr>
            </w:pPr>
            <w:r>
              <w:rPr>
                <w:rFonts w:ascii="Arial" w:eastAsia="MgHelveticaUCPol" w:hAnsi="Arial"/>
                <w:bCs/>
                <w:color w:val="000000"/>
                <w:sz w:val="18"/>
                <w:szCs w:val="18"/>
              </w:rPr>
              <w:t>Να έχει εμπειρία τουλάχιστο 3 ετών σε θέση Τεχνικού Ασφαλείας σε Νοσοκομείο. Η εμπειρία θα αποδεικνύεται με την κατάθεση, επί ποινή αποκλεισμού, των υπογεγραμμένων συμβάσεων και των βεβαιώσεων καλής εκτέλεσης των αντίστοιχων Νοσοκομείων.</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bCs/>
                <w:color w:val="000000"/>
                <w:sz w:val="18"/>
                <w:szCs w:val="18"/>
              </w:rPr>
            </w:pPr>
            <w:r>
              <w:rPr>
                <w:rFonts w:ascii="Arial" w:eastAsia="MgHelveticaUCPol" w:hAnsi="Arial"/>
                <w:bCs/>
                <w:color w:val="000000"/>
                <w:sz w:val="18"/>
                <w:szCs w:val="18"/>
              </w:rPr>
              <w:t>Το προσωπικό της ΕΞΥΠΠ που θα επισκέπτεται το Νοσοκομείο ή ο Τεχνικός Ασφαλείας να είναι εμβολιασμένος κατά Covid-19</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Pr="003B6701" w:rsidRDefault="003B6701" w:rsidP="003B6701">
            <w:pPr>
              <w:widowControl w:val="0"/>
              <w:numPr>
                <w:ilvl w:val="0"/>
                <w:numId w:val="5"/>
              </w:numPr>
              <w:tabs>
                <w:tab w:val="clear" w:pos="0"/>
                <w:tab w:val="left" w:pos="426"/>
              </w:tabs>
              <w:ind w:left="0" w:firstLine="0"/>
              <w:jc w:val="both"/>
              <w:rPr>
                <w:rFonts w:ascii="Arial" w:eastAsia="MgHelveticaUCPol" w:hAnsi="Arial"/>
                <w:bCs/>
                <w:color w:val="000000"/>
                <w:sz w:val="18"/>
                <w:szCs w:val="18"/>
              </w:rPr>
            </w:pPr>
            <w:r>
              <w:rPr>
                <w:rFonts w:ascii="Arial" w:eastAsia="MgHelveticaUCPol" w:hAnsi="Arial"/>
                <w:bCs/>
                <w:color w:val="000000"/>
                <w:sz w:val="18"/>
                <w:szCs w:val="18"/>
              </w:rPr>
              <w:t>Επί ποινή αποκλεισμού, ο Τεχνικός Ασφαλείας θα πρέπει να κατέχει ασφαλιστήριο αστικής ευθύνης σε ισχύ</w:t>
            </w:r>
            <w:r w:rsidRPr="003B6701">
              <w:rPr>
                <w:rFonts w:ascii="Calibri" w:eastAsia="Calibri" w:hAnsi="Calibri"/>
                <w:sz w:val="22"/>
                <w:szCs w:val="22"/>
                <w:lang w:eastAsia="en-US"/>
              </w:rPr>
              <w:t xml:space="preserve"> </w:t>
            </w:r>
            <w:r w:rsidRPr="003B6701">
              <w:rPr>
                <w:rFonts w:ascii="Arial" w:eastAsia="MgHelveticaUCPol" w:hAnsi="Arial"/>
                <w:bCs/>
                <w:color w:val="000000"/>
                <w:sz w:val="18"/>
                <w:szCs w:val="18"/>
              </w:rPr>
              <w:t>κατά την ημερομηνία διεξαγωγής του διαγωνισμού.</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3B6701" w:rsidTr="008D26BE">
        <w:tc>
          <w:tcPr>
            <w:tcW w:w="4077" w:type="dxa"/>
            <w:tcBorders>
              <w:left w:val="single" w:sz="4" w:space="0" w:color="000000"/>
              <w:bottom w:val="single" w:sz="4" w:space="0" w:color="000000"/>
              <w:right w:val="single" w:sz="4" w:space="0" w:color="000000"/>
            </w:tcBorders>
          </w:tcPr>
          <w:p w:rsidR="003B6701" w:rsidRDefault="003B6701">
            <w:pPr>
              <w:widowControl w:val="0"/>
              <w:numPr>
                <w:ilvl w:val="0"/>
                <w:numId w:val="5"/>
              </w:numPr>
              <w:tabs>
                <w:tab w:val="left" w:pos="426"/>
              </w:tabs>
              <w:spacing w:line="227" w:lineRule="atLeast"/>
              <w:ind w:left="0" w:firstLine="0"/>
              <w:jc w:val="both"/>
              <w:rPr>
                <w:rFonts w:ascii="Arial" w:eastAsia="MgHelveticaUCPol" w:hAnsi="Arial"/>
                <w:bCs/>
                <w:color w:val="000000"/>
                <w:sz w:val="18"/>
                <w:szCs w:val="18"/>
              </w:rPr>
            </w:pPr>
            <w:r w:rsidRPr="003B6701">
              <w:rPr>
                <w:rFonts w:ascii="Arial" w:eastAsia="MgHelveticaUCPol" w:hAnsi="Arial"/>
                <w:bCs/>
                <w:color w:val="000000"/>
                <w:sz w:val="18"/>
                <w:szCs w:val="18"/>
              </w:rPr>
              <w:t xml:space="preserve">Οι διαγωνιζόμενοι επί ποινή αποκλεισμού θα πρέπει να καταθέσουν βεβαίωση ότι έχουν λάβει γνώση των συνθηκών και των εγκαταστάσεων του Νοσοκομείου.  </w:t>
            </w:r>
          </w:p>
        </w:tc>
        <w:tc>
          <w:tcPr>
            <w:tcW w:w="1844"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3B6701" w:rsidRDefault="003B6701">
            <w:pPr>
              <w:widowControl w:val="0"/>
              <w:ind w:left="720"/>
              <w:jc w:val="center"/>
              <w:rPr>
                <w:rFonts w:ascii="Arial" w:hAnsi="Arial"/>
                <w:sz w:val="18"/>
                <w:szCs w:val="18"/>
              </w:rPr>
            </w:pPr>
          </w:p>
        </w:tc>
      </w:tr>
      <w:tr w:rsidR="00D60AEF" w:rsidTr="008D26BE">
        <w:tc>
          <w:tcPr>
            <w:tcW w:w="4077" w:type="dxa"/>
            <w:tcBorders>
              <w:left w:val="single" w:sz="4" w:space="0" w:color="000000"/>
              <w:bottom w:val="single" w:sz="4" w:space="0" w:color="000000"/>
              <w:right w:val="single" w:sz="4" w:space="0" w:color="000000"/>
            </w:tcBorders>
          </w:tcPr>
          <w:p w:rsidR="00D60AEF" w:rsidRDefault="003B6701">
            <w:pPr>
              <w:widowControl w:val="0"/>
              <w:numPr>
                <w:ilvl w:val="0"/>
                <w:numId w:val="5"/>
              </w:numPr>
              <w:tabs>
                <w:tab w:val="left" w:pos="426"/>
              </w:tabs>
              <w:ind w:left="0" w:firstLine="0"/>
              <w:jc w:val="both"/>
              <w:rPr>
                <w:rFonts w:ascii="Arial" w:eastAsia="MgHelveticaUCPol" w:hAnsi="Arial"/>
                <w:bCs/>
                <w:color w:val="000000"/>
                <w:sz w:val="18"/>
                <w:szCs w:val="18"/>
              </w:rPr>
            </w:pPr>
            <w:r w:rsidRPr="003B6701">
              <w:rPr>
                <w:rFonts w:ascii="Arial" w:eastAsia="MgHelveticaUCPol" w:hAnsi="Arial"/>
                <w:bCs/>
                <w:color w:val="000000"/>
                <w:sz w:val="18"/>
                <w:szCs w:val="18"/>
              </w:rPr>
              <w:t>Το απασχολούμενο φυσικό ή νομικό πρόσωπο (Τεχνικός Ασφαλείας ιδιώτης ή μέσω ΕΞΥΠΠ) θα πρέπει επί ποινή αποκλεισμού, να προσκομίσουν και να διατηρήσουν σε ισχύ κατά τη διάρκεια εκτέλεσης του έργου πιστοποιητικά συμμόρφωσης κατά ISO 9001:2015 (Συστήματα Διαχείρισης Ποιότητας), ISO 14001:2015 (Συστήματα Περιβαλλοντικής Διαχείρισης) και OHSAS 18001:2007 ή ISO 45001:2018 (Συστήματα Διαχείρισης Εργασιακής Ασφάλειας και Υγιεινής), ISO 27001:2013 (Σύστημα Διαχείρισης της Ασφάλειας των Πληροφοριών) που έχουν εκδοθεί από διαπιστευμένο οργανισμό αξιολόγησης από το ΕΣΥΔ ή άλλο ισοδύναμο οργανισμό διαπίστευσης</w:t>
            </w:r>
          </w:p>
        </w:tc>
        <w:tc>
          <w:tcPr>
            <w:tcW w:w="1844" w:type="dxa"/>
            <w:tcBorders>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9606" w:type="dxa"/>
            <w:gridSpan w:val="4"/>
            <w:tcBorders>
              <w:left w:val="single" w:sz="4" w:space="0" w:color="000000"/>
              <w:bottom w:val="single" w:sz="4" w:space="0" w:color="000000"/>
              <w:right w:val="single" w:sz="4" w:space="0" w:color="000000"/>
            </w:tcBorders>
          </w:tcPr>
          <w:p w:rsidR="00D60AEF" w:rsidRDefault="003B6701">
            <w:pPr>
              <w:widowControl w:val="0"/>
              <w:ind w:left="720"/>
              <w:rPr>
                <w:rFonts w:ascii="Arial" w:hAnsi="Arial"/>
                <w:sz w:val="18"/>
                <w:szCs w:val="18"/>
              </w:rPr>
            </w:pPr>
            <w:r>
              <w:rPr>
                <w:rFonts w:ascii="Arial" w:hAnsi="Arial" w:cs="Arial"/>
                <w:b/>
                <w:bCs/>
                <w:sz w:val="18"/>
                <w:szCs w:val="18"/>
                <w:u w:val="single"/>
              </w:rPr>
              <w:t xml:space="preserve">ΚΑΘΗΚΟΝΤΑ - </w:t>
            </w:r>
            <w:r>
              <w:rPr>
                <w:rFonts w:ascii="Arial" w:hAnsi="Arial"/>
                <w:b/>
                <w:bCs/>
                <w:sz w:val="18"/>
                <w:szCs w:val="18"/>
                <w:u w:val="single"/>
              </w:rPr>
              <w:t>ΑΡΜΟΔΙΟΤΗΤΕΣ ΤΕΧΝΙΚΟΥ ΑΣΦΑΛΕΙΑΣ</w:t>
            </w: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Α. ΣΥΜΒΟΥΛΕΥΤΙΚΕΣ ΑΡΜΟΔΙΟΤΗΤΕΣ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651F8D" w:rsidTr="008D26BE">
        <w:tc>
          <w:tcPr>
            <w:tcW w:w="4077" w:type="dxa"/>
            <w:tcBorders>
              <w:top w:val="single" w:sz="4" w:space="0" w:color="000000"/>
              <w:left w:val="single" w:sz="4" w:space="0" w:color="000000"/>
              <w:bottom w:val="single" w:sz="4" w:space="0" w:color="000000"/>
              <w:right w:val="single" w:sz="4" w:space="0" w:color="000000"/>
            </w:tcBorders>
          </w:tcPr>
          <w:p w:rsidR="00651F8D" w:rsidRDefault="00651F8D">
            <w:pPr>
              <w:widowControl w:val="0"/>
              <w:numPr>
                <w:ilvl w:val="0"/>
                <w:numId w:val="2"/>
              </w:numPr>
              <w:tabs>
                <w:tab w:val="clear" w:pos="720"/>
                <w:tab w:val="left" w:pos="426"/>
              </w:tabs>
              <w:ind w:left="426"/>
              <w:jc w:val="both"/>
              <w:rPr>
                <w:rFonts w:ascii="Arial" w:hAnsi="Arial"/>
                <w:sz w:val="18"/>
                <w:szCs w:val="18"/>
              </w:rPr>
            </w:pPr>
            <w:r w:rsidRPr="00651F8D">
              <w:rPr>
                <w:rFonts w:ascii="Arial" w:hAnsi="Arial"/>
                <w:sz w:val="18"/>
                <w:szCs w:val="18"/>
              </w:rPr>
              <w:t xml:space="preserve">Ο ετήσιος χρόνος απασχόλησης του τεχνικού ασφαλείας είναι </w:t>
            </w:r>
            <w:r w:rsidR="001F5E4C">
              <w:rPr>
                <w:rFonts w:ascii="Arial" w:hAnsi="Arial"/>
                <w:sz w:val="18"/>
                <w:szCs w:val="18"/>
              </w:rPr>
              <w:t>2.135</w:t>
            </w:r>
            <w:r w:rsidRPr="00651F8D">
              <w:rPr>
                <w:rFonts w:ascii="Arial" w:hAnsi="Arial"/>
                <w:sz w:val="18"/>
                <w:szCs w:val="18"/>
              </w:rPr>
              <w:t xml:space="preserve"> ώρες </w:t>
            </w:r>
            <w:r w:rsidR="00CD22EC">
              <w:rPr>
                <w:rFonts w:ascii="Arial" w:hAnsi="Arial"/>
                <w:sz w:val="18"/>
                <w:szCs w:val="18"/>
              </w:rPr>
              <w:t xml:space="preserve">(534 ώρες/τρίμηνο) </w:t>
            </w:r>
            <w:r w:rsidRPr="00651F8D">
              <w:rPr>
                <w:rFonts w:ascii="Arial" w:hAnsi="Arial"/>
                <w:sz w:val="18"/>
                <w:szCs w:val="18"/>
              </w:rPr>
              <w:t xml:space="preserve">και καθορίζεται με βάση το άρθρο 21 του Ν. 3850/2010, σε συνάρτηση με τον αριθμό εργαζομένων και την κατηγορία επικινδυνότητας . Η παρουσία του  Τεχνικού Ασφαλείας στο Νοσοκομείο κρίνεται υποχρεωτική για το χρονικό διάστημα της προβλεπόμενης απασχόλησής του. Στις υποχρεώσεις θα </w:t>
            </w:r>
            <w:r w:rsidRPr="00651F8D">
              <w:rPr>
                <w:rFonts w:ascii="Arial" w:hAnsi="Arial"/>
                <w:sz w:val="18"/>
                <w:szCs w:val="18"/>
              </w:rPr>
              <w:lastRenderedPageBreak/>
              <w:t>συμπεριλαμβάνεται η σύνταξη και οι τυχόν αναθεωρήσεις της Μ.Ε.Ε.Κ. που θα συνταχθεί. Γενικά θα ισχύουν οι σχετικές διατάξεις του Ν. 1568/1985, του Π.Δ. 17/1996, του Π.Δ. 159/1999, Π.Δ. 294/1988 και του Ν. 2874/2000.</w:t>
            </w:r>
          </w:p>
        </w:tc>
        <w:tc>
          <w:tcPr>
            <w:tcW w:w="1844"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r>
              <w:rPr>
                <w:rFonts w:ascii="Arial" w:hAnsi="Arial"/>
                <w:sz w:val="18"/>
                <w:szCs w:val="18"/>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51F8D" w:rsidRDefault="00651F8D">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sz w:val="18"/>
                <w:szCs w:val="18"/>
              </w:rPr>
            </w:pPr>
            <w:r>
              <w:rPr>
                <w:rFonts w:ascii="Arial" w:hAnsi="Arial"/>
                <w:sz w:val="18"/>
                <w:szCs w:val="18"/>
              </w:rPr>
              <w:t xml:space="preserve">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Ο τεχνικός ασφάλειας καταχωρεί τις γραπτές υποδείξεις σε ειδικό βιβλίο, το οποίο  </w:t>
            </w:r>
            <w:proofErr w:type="spellStart"/>
            <w:r>
              <w:rPr>
                <w:rFonts w:ascii="Arial" w:hAnsi="Arial"/>
                <w:sz w:val="18"/>
                <w:szCs w:val="18"/>
              </w:rPr>
              <w:t>σελιδομετρείται</w:t>
            </w:r>
            <w:proofErr w:type="spellEnd"/>
            <w:r>
              <w:rPr>
                <w:rFonts w:ascii="Arial" w:hAnsi="Arial"/>
                <w:sz w:val="18"/>
                <w:szCs w:val="18"/>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sz w:val="18"/>
                <w:szCs w:val="18"/>
              </w:rPr>
            </w:pPr>
            <w:r>
              <w:rPr>
                <w:rFonts w:ascii="Arial" w:hAnsi="Arial"/>
                <w:sz w:val="18"/>
                <w:szCs w:val="18"/>
              </w:rPr>
              <w:t>Ο τεχνικός ασφάλειας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2"/>
              </w:numPr>
              <w:tabs>
                <w:tab w:val="clear" w:pos="720"/>
                <w:tab w:val="left" w:pos="426"/>
              </w:tabs>
              <w:ind w:left="426"/>
              <w:jc w:val="both"/>
              <w:rPr>
                <w:rFonts w:ascii="Arial" w:hAnsi="Arial"/>
                <w:b/>
                <w:bCs/>
                <w:sz w:val="18"/>
                <w:szCs w:val="18"/>
              </w:rPr>
            </w:pPr>
            <w:r>
              <w:rPr>
                <w:rFonts w:ascii="Arial" w:hAnsi="Arial"/>
                <w:sz w:val="18"/>
                <w:szCs w:val="18"/>
              </w:rPr>
              <w:t>Ο τεχνικός ασφάλειας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Β. ΕΠΙΒΛΕΨΗ ΣΥΝΘΗΚΩΝ ΕΡΓΑΣΙΑΣ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Ο τεχνικός ασφάλειας έχει υποχρέωση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επιβλέπει την ορθή χρήση των ατομικών μέσων προστασίας.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ερευνά τα αίτια των εργατικών ατυχημάτων, να αναλύει και να αξιολογεί τα αποτελέσματα  των ερευνών του και να προτείνει μέτρα για την αποτροπή παρόμοιων ατυχημάτων.</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3"/>
              </w:numPr>
              <w:tabs>
                <w:tab w:val="clear" w:pos="720"/>
                <w:tab w:val="left" w:pos="426"/>
              </w:tabs>
              <w:ind w:left="426"/>
              <w:jc w:val="both"/>
              <w:rPr>
                <w:rFonts w:ascii="Arial" w:hAnsi="Arial"/>
                <w:sz w:val="18"/>
                <w:szCs w:val="18"/>
              </w:rPr>
            </w:pPr>
            <w:r>
              <w:rPr>
                <w:rFonts w:ascii="Arial" w:hAnsi="Arial"/>
                <w:sz w:val="18"/>
                <w:szCs w:val="18"/>
              </w:rPr>
              <w:t>Να εποπτεύει την εκτέλεση ασκήσεων πυρασφάλειας και συναγερμού για τη διαπίστωση ετοιμότητας προς αντιμετώπιση ατυχημάτων.</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rFonts w:ascii="Arial" w:hAnsi="Arial"/>
                <w:sz w:val="18"/>
                <w:szCs w:val="18"/>
              </w:rPr>
            </w:pPr>
            <w:r>
              <w:rPr>
                <w:rFonts w:ascii="Arial" w:hAnsi="Arial"/>
                <w:b/>
                <w:bCs/>
                <w:sz w:val="18"/>
                <w:szCs w:val="18"/>
              </w:rPr>
              <w:t>Γ. ΒΕΛΤΙΩΣΗ ΣΥΝΘΗΚΩΝ ΕΡΓΑΣΙΑΣ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 xml:space="preserve">Ο τεχνικός ασφάλειας έχει υποχρέωση να μεριμνά ώστε οι εργαζόμενοι στην επιχείρηση να τηρούν τους κανόνες υγείας </w:t>
            </w:r>
            <w:r>
              <w:rPr>
                <w:rFonts w:ascii="Arial" w:hAnsi="Arial"/>
                <w:sz w:val="18"/>
                <w:szCs w:val="18"/>
              </w:rPr>
              <w:lastRenderedPageBreak/>
              <w:t>και ασφάλειας των εργαζομένων και να τους ενημερώνει και καθοδηγεί για την αποτροπή του επαγγελματικού κινδύνου που συνεπάγεται η εργασία τους.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Ο τεχνικός ασφάλειας έχει υποχρέωση να συμμετέχει στην κατάρτιση και εφαρμογή των προγραμμάτων εκπαίδευσης των εργαζομένων σε θέματα υγείας και ασφάλειας.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sz w:val="18"/>
                <w:szCs w:val="18"/>
              </w:rPr>
            </w:pPr>
            <w:r>
              <w:rPr>
                <w:rFonts w:ascii="Arial" w:hAnsi="Arial"/>
                <w:sz w:val="18"/>
                <w:szCs w:val="18"/>
              </w:rPr>
              <w:t>Η άσκηση του έργου του τεχνικού ασφάλειας δεν αποκλείει την ανάθεση από τον εργοδότη και άλλων καθηκόντων πέρα από το ελάχιστο όριο ωρών απασχόλησής του ως τεχνικός ασφαλείας.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tabs>
                <w:tab w:val="clear" w:pos="720"/>
                <w:tab w:val="left" w:pos="426"/>
              </w:tabs>
              <w:ind w:left="426"/>
              <w:jc w:val="both"/>
              <w:rPr>
                <w:rFonts w:ascii="Arial" w:hAnsi="Arial" w:cs="Arial"/>
                <w:sz w:val="18"/>
                <w:szCs w:val="18"/>
              </w:rPr>
            </w:pPr>
            <w:r>
              <w:rPr>
                <w:rFonts w:ascii="Arial" w:hAnsi="Arial"/>
                <w:sz w:val="18"/>
                <w:szCs w:val="18"/>
              </w:rPr>
              <w:t>Ο τεχνικός ασφάλειας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 κάθε περίπτωση η απόλυση του τεχνικού ασφάλειας πρέπει να είναι αιτιολογημένη.</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numPr>
                <w:ilvl w:val="0"/>
                <w:numId w:val="1"/>
              </w:numPr>
              <w:shd w:val="clear" w:color="auto" w:fill="FFFFFF"/>
              <w:tabs>
                <w:tab w:val="clear" w:pos="720"/>
                <w:tab w:val="left" w:pos="426"/>
              </w:tabs>
              <w:ind w:left="426"/>
              <w:jc w:val="both"/>
              <w:rPr>
                <w:rFonts w:ascii="Arial" w:hAnsi="Arial"/>
                <w:sz w:val="18"/>
                <w:szCs w:val="18"/>
              </w:rPr>
            </w:pPr>
            <w:r>
              <w:rPr>
                <w:rFonts w:ascii="Arial" w:hAnsi="Arial" w:cs="Arial"/>
                <w:sz w:val="18"/>
                <w:szCs w:val="18"/>
              </w:rPr>
              <w:t>Ο τεχνικός ασφάλειας έχει υποχρέωση να τηρεί το επιχειρησιακό απόρρητο.</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r w:rsidR="00D60AEF" w:rsidTr="008D26BE">
        <w:tc>
          <w:tcPr>
            <w:tcW w:w="4077" w:type="dxa"/>
            <w:tcBorders>
              <w:top w:val="single" w:sz="4" w:space="0" w:color="000000"/>
              <w:left w:val="single" w:sz="4" w:space="0" w:color="000000"/>
              <w:bottom w:val="single" w:sz="4" w:space="0" w:color="000000"/>
              <w:right w:val="single" w:sz="4" w:space="0" w:color="000000"/>
            </w:tcBorders>
          </w:tcPr>
          <w:p w:rsidR="00D60AEF" w:rsidRDefault="003B6701">
            <w:pPr>
              <w:widowControl w:val="0"/>
              <w:jc w:val="both"/>
              <w:rPr>
                <w:sz w:val="18"/>
                <w:szCs w:val="18"/>
              </w:rPr>
            </w:pPr>
            <w:r>
              <w:rPr>
                <w:rFonts w:ascii="Arial" w:hAnsi="Arial" w:cs="Arial"/>
                <w:b/>
                <w:bCs/>
                <w:sz w:val="18"/>
                <w:szCs w:val="18"/>
              </w:rPr>
              <w:t>ΕΜΠΙΣΤΕΥΤΙΚΟΤΗΤΑ</w:t>
            </w:r>
            <w:r>
              <w:rPr>
                <w:rFonts w:ascii="Arial" w:hAnsi="Arial" w:cs="Arial"/>
                <w:sz w:val="18"/>
                <w:szCs w:val="18"/>
              </w:rPr>
              <w:t>: Το φυσικό πρόσωπο, η ΕΞ.Υ.Π.Π. ή ο συνεταιρισμός στον οποίο θα ανατεθεί η υπηρεσία, οφείλει τόσο κατά την διάρκεια ισχύος της σύμβασης όσο και μετά από αυτή, χωρίς χρονικό περιορισμό, να μην αποκαλύπτει ή καθ΄ οιονδήποτε τρόπο αφήνει να διαρρεύσει σε τρίτους και να μην κάνει χρήση οιασδήποτε πληροφορίας στοιχείων σχετικών  με το Νοσοκομείο, αλλά υποχρεούται να αποτρέπει με κάθε νόμιμο τρόπο την ανακοίνωση αυτών. Η απαγόρευση του προηγούμενου εδαφίου αφορά και τους καθ΄ οιονδήποτε τρόπο ή ιδιότητες προστιθέμενους βοηθούς εκπληρώσεων και εν γένει συνεργάτες.</w:t>
            </w:r>
          </w:p>
        </w:tc>
        <w:tc>
          <w:tcPr>
            <w:tcW w:w="1844" w:type="dxa"/>
            <w:tcBorders>
              <w:top w:val="single" w:sz="4" w:space="0" w:color="000000"/>
              <w:left w:val="single" w:sz="4" w:space="0" w:color="000000"/>
              <w:bottom w:val="single" w:sz="4" w:space="0" w:color="000000"/>
              <w:right w:val="single" w:sz="4" w:space="0" w:color="000000"/>
            </w:tcBorders>
            <w:vAlign w:val="center"/>
          </w:tcPr>
          <w:p w:rsidR="00D60AEF" w:rsidRDefault="003B6701">
            <w:pPr>
              <w:widowControl w:val="0"/>
              <w:ind w:left="720"/>
              <w:jc w:val="center"/>
              <w:rPr>
                <w:rFonts w:ascii="Arial" w:hAnsi="Arial"/>
                <w:sz w:val="18"/>
                <w:szCs w:val="18"/>
              </w:rPr>
            </w:pPr>
            <w:r>
              <w:rPr>
                <w:rFonts w:ascii="Arial" w:hAnsi="Arial"/>
                <w:sz w:val="18"/>
                <w:szCs w:val="18"/>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0AEF" w:rsidRDefault="00D60AEF">
            <w:pPr>
              <w:widowControl w:val="0"/>
              <w:ind w:left="720"/>
              <w:jc w:val="center"/>
              <w:rPr>
                <w:rFonts w:ascii="Arial" w:hAnsi="Arial"/>
                <w:sz w:val="18"/>
                <w:szCs w:val="18"/>
              </w:rPr>
            </w:pPr>
          </w:p>
        </w:tc>
      </w:tr>
    </w:tbl>
    <w:p w:rsidR="00D60AEF" w:rsidRDefault="00D60AEF">
      <w:pPr>
        <w:jc w:val="center"/>
        <w:rPr>
          <w:rFonts w:cs="Calibri"/>
          <w:b/>
          <w:bCs/>
          <w:sz w:val="26"/>
          <w:szCs w:val="26"/>
        </w:rPr>
      </w:pPr>
    </w:p>
    <w:p w:rsidR="00D60AEF" w:rsidRDefault="00D60AEF"/>
    <w:p w:rsidR="00D60AEF" w:rsidRDefault="00D60AEF"/>
    <w:sectPr w:rsidR="00D60AE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gHelveticaUCPol">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3E72"/>
    <w:multiLevelType w:val="multilevel"/>
    <w:tmpl w:val="D0167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61C4AEF"/>
    <w:multiLevelType w:val="multilevel"/>
    <w:tmpl w:val="DDC430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ED94937"/>
    <w:multiLevelType w:val="multilevel"/>
    <w:tmpl w:val="1C2ACFC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672"/>
    <w:multiLevelType w:val="multilevel"/>
    <w:tmpl w:val="1D8617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00B0515"/>
    <w:multiLevelType w:val="multilevel"/>
    <w:tmpl w:val="3C6C8CA8"/>
    <w:lvl w:ilvl="0">
      <w:start w:val="1"/>
      <w:numFmt w:val="upperRoman"/>
      <w:lvlText w:val="%1."/>
      <w:lvlJc w:val="right"/>
      <w:pPr>
        <w:tabs>
          <w:tab w:val="num" w:pos="720"/>
        </w:tabs>
        <w:ind w:left="720" w:hanging="180"/>
      </w:pPr>
      <w:rPr>
        <w:rFonts w:eastAsia="MgHelveticaUCP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9E3A1E"/>
    <w:multiLevelType w:val="multilevel"/>
    <w:tmpl w:val="8D545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358403A"/>
    <w:multiLevelType w:val="multilevel"/>
    <w:tmpl w:val="7A44E7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4"/>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60AEF"/>
    <w:rsid w:val="001F5E4C"/>
    <w:rsid w:val="003B6701"/>
    <w:rsid w:val="00651F8D"/>
    <w:rsid w:val="008D26BE"/>
    <w:rsid w:val="00CD22EC"/>
    <w:rsid w:val="00D60AEF"/>
    <w:rsid w:val="00E4565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4440F-F7D4-447D-84CE-D317FD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8E9"/>
    <w:rPr>
      <w:rFonts w:eastAsia="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FootnoteReference2">
    <w:name w:val="Footnote Reference2"/>
    <w:qFormat/>
    <w:rPr>
      <w:vertAlign w:val="superscript"/>
    </w:rPr>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Ευρετήριο"/>
    <w:basedOn w:val="a"/>
    <w:qFormat/>
    <w:pPr>
      <w:suppressLineNumbers/>
    </w:pPr>
    <w:rPr>
      <w:rFonts w:cs="Arial"/>
    </w:rPr>
  </w:style>
  <w:style w:type="numbering" w:customStyle="1" w:styleId="WW8Num13">
    <w:name w:val="WW8Num13"/>
    <w:qFormat/>
  </w:style>
  <w:style w:type="paragraph" w:styleId="a8">
    <w:name w:val="List Paragraph"/>
    <w:basedOn w:val="a"/>
    <w:uiPriority w:val="34"/>
    <w:qFormat/>
    <w:rsid w:val="003B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1382</Words>
  <Characters>7466</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ΣΟΦΙΑ ΠΑΣΧΑΛΙΔΟΥ</cp:lastModifiedBy>
  <cp:revision>9</cp:revision>
  <dcterms:created xsi:type="dcterms:W3CDTF">2019-06-11T05:16:00Z</dcterms:created>
  <dcterms:modified xsi:type="dcterms:W3CDTF">2024-04-01T07:04:00Z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