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158D" w14:textId="1D9148AC" w:rsidR="006A709D" w:rsidRPr="006A709D" w:rsidRDefault="006A709D" w:rsidP="006A709D">
      <w:pPr>
        <w:pStyle w:val="1"/>
        <w:rPr>
          <w:bCs w:val="0"/>
          <w:color w:val="auto"/>
          <w:sz w:val="26"/>
          <w:szCs w:val="26"/>
        </w:rPr>
      </w:pPr>
      <w:bookmarkStart w:id="0" w:name="_Toc34389838"/>
      <w:r w:rsidRPr="006A709D">
        <w:rPr>
          <w:rFonts w:asciiTheme="minorHAnsi" w:eastAsiaTheme="minorHAnsi" w:hAnsiTheme="minorHAnsi" w:cs="Calibri"/>
          <w:bCs w:val="0"/>
          <w:color w:val="auto"/>
          <w:sz w:val="26"/>
          <w:szCs w:val="26"/>
        </w:rPr>
        <w:t xml:space="preserve">ΠΑΡΑΡΤΗΜΑ IΙΙ – </w:t>
      </w:r>
      <w:r w:rsidRPr="006A709D">
        <w:rPr>
          <w:bCs w:val="0"/>
          <w:color w:val="auto"/>
          <w:sz w:val="26"/>
          <w:szCs w:val="26"/>
        </w:rPr>
        <w:t xml:space="preserve"> ΦΥΛΛΟ ΣΥΜΜΟΡΦΩΣΗΣ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490"/>
        <w:gridCol w:w="1116"/>
        <w:gridCol w:w="1156"/>
        <w:gridCol w:w="1418"/>
      </w:tblGrid>
      <w:tr w:rsidR="006A709D" w:rsidRPr="006A709D" w14:paraId="26C5C847" w14:textId="77777777" w:rsidTr="003647AF">
        <w:tc>
          <w:tcPr>
            <w:tcW w:w="604" w:type="dxa"/>
            <w:shd w:val="clear" w:color="auto" w:fill="D9D9D9"/>
            <w:vAlign w:val="center"/>
          </w:tcPr>
          <w:p w14:paraId="7B3CAEDE"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Α/Α</w:t>
            </w:r>
          </w:p>
        </w:tc>
        <w:tc>
          <w:tcPr>
            <w:tcW w:w="4490" w:type="dxa"/>
            <w:shd w:val="clear" w:color="auto" w:fill="D9D9D9"/>
            <w:vAlign w:val="center"/>
          </w:tcPr>
          <w:p w14:paraId="620D632C"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Περιγραφή</w:t>
            </w:r>
          </w:p>
        </w:tc>
        <w:tc>
          <w:tcPr>
            <w:tcW w:w="1116" w:type="dxa"/>
            <w:shd w:val="clear" w:color="auto" w:fill="D9D9D9"/>
            <w:vAlign w:val="center"/>
          </w:tcPr>
          <w:p w14:paraId="36A277CF"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Απαίτηση</w:t>
            </w:r>
          </w:p>
        </w:tc>
        <w:tc>
          <w:tcPr>
            <w:tcW w:w="1156" w:type="dxa"/>
            <w:shd w:val="clear" w:color="auto" w:fill="D9D9D9"/>
            <w:vAlign w:val="center"/>
          </w:tcPr>
          <w:p w14:paraId="11DB1E76"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Απάντηση</w:t>
            </w:r>
          </w:p>
        </w:tc>
        <w:tc>
          <w:tcPr>
            <w:tcW w:w="1418" w:type="dxa"/>
            <w:shd w:val="clear" w:color="auto" w:fill="D9D9D9"/>
            <w:vAlign w:val="center"/>
          </w:tcPr>
          <w:p w14:paraId="1E2C5BAD"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Παραπομπή</w:t>
            </w:r>
          </w:p>
        </w:tc>
      </w:tr>
      <w:tr w:rsidR="006A709D" w:rsidRPr="006A709D" w14:paraId="67B18AC8" w14:textId="77777777" w:rsidTr="003647AF">
        <w:tc>
          <w:tcPr>
            <w:tcW w:w="604" w:type="dxa"/>
            <w:shd w:val="clear" w:color="auto" w:fill="auto"/>
            <w:vAlign w:val="center"/>
          </w:tcPr>
          <w:p w14:paraId="0CA109C3"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1</w:t>
            </w:r>
          </w:p>
        </w:tc>
        <w:tc>
          <w:tcPr>
            <w:tcW w:w="4490" w:type="dxa"/>
            <w:shd w:val="clear" w:color="auto" w:fill="auto"/>
            <w:vAlign w:val="center"/>
          </w:tcPr>
          <w:p w14:paraId="190039A3" w14:textId="77777777" w:rsidR="006A709D" w:rsidRPr="006A709D" w:rsidRDefault="006A709D" w:rsidP="003647AF">
            <w:pPr>
              <w:pStyle w:val="Default"/>
              <w:spacing w:before="120"/>
              <w:rPr>
                <w:b/>
                <w:bCs/>
                <w:color w:val="auto"/>
                <w:sz w:val="22"/>
                <w:szCs w:val="22"/>
              </w:rPr>
            </w:pPr>
            <w:r w:rsidRPr="006A709D">
              <w:rPr>
                <w:color w:val="auto"/>
              </w:rPr>
              <w:t>Υποχρεωτική καθημερινή παρουσία στους χώρους του Γ.Ν.Θ. ‘Ιπποκράτειο’ (και σε περίπτωση που απαιτείται μετάβαση στον χώρο της βλάβης, εντός Νοσοκομείου) τις εργάσιμες ημέρες διάρκειας επτάμιση (7,5) ωρών ανά ημέρα, σε ωράριο που θα συμφωνείται με το αρμόδιο Τμήμα Hardware και ανάλογα με τις καθημερινές ανάγκες.</w:t>
            </w:r>
          </w:p>
        </w:tc>
        <w:tc>
          <w:tcPr>
            <w:tcW w:w="1116" w:type="dxa"/>
            <w:shd w:val="clear" w:color="auto" w:fill="auto"/>
            <w:vAlign w:val="center"/>
          </w:tcPr>
          <w:p w14:paraId="38AFD3BE"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4C5AFC56"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598F40B0" w14:textId="77777777" w:rsidR="006A709D" w:rsidRPr="006A709D" w:rsidRDefault="006A709D" w:rsidP="003647AF">
            <w:pPr>
              <w:pStyle w:val="Default"/>
              <w:spacing w:before="120"/>
              <w:jc w:val="center"/>
              <w:rPr>
                <w:b/>
                <w:bCs/>
                <w:color w:val="auto"/>
                <w:sz w:val="22"/>
                <w:szCs w:val="22"/>
              </w:rPr>
            </w:pPr>
          </w:p>
        </w:tc>
      </w:tr>
      <w:tr w:rsidR="006A709D" w:rsidRPr="006A709D" w14:paraId="7AE2FFBD" w14:textId="77777777" w:rsidTr="003647AF">
        <w:tc>
          <w:tcPr>
            <w:tcW w:w="604" w:type="dxa"/>
            <w:shd w:val="clear" w:color="auto" w:fill="auto"/>
            <w:vAlign w:val="center"/>
          </w:tcPr>
          <w:p w14:paraId="21261B9C"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2</w:t>
            </w:r>
          </w:p>
        </w:tc>
        <w:tc>
          <w:tcPr>
            <w:tcW w:w="4490" w:type="dxa"/>
            <w:shd w:val="clear" w:color="auto" w:fill="auto"/>
            <w:vAlign w:val="center"/>
          </w:tcPr>
          <w:p w14:paraId="4DFDFA4D" w14:textId="77777777" w:rsidR="006A709D" w:rsidRPr="006A709D" w:rsidRDefault="006A709D" w:rsidP="003647AF">
            <w:pPr>
              <w:pStyle w:val="ad"/>
              <w:widowControl w:val="0"/>
              <w:shd w:val="clear" w:color="auto" w:fill="FFFFFF"/>
              <w:autoSpaceDE w:val="0"/>
              <w:autoSpaceDN w:val="0"/>
              <w:adjustRightInd w:val="0"/>
              <w:spacing w:before="270" w:after="0" w:line="274" w:lineRule="exact"/>
              <w:ind w:left="0" w:right="4"/>
              <w:jc w:val="both"/>
              <w:rPr>
                <w:rFonts w:cs="Calibri"/>
              </w:rPr>
            </w:pPr>
            <w:r w:rsidRPr="006A709D">
              <w:rPr>
                <w:rFonts w:cs="Calibri"/>
              </w:rPr>
              <w:t xml:space="preserve">Σε περίπτωση κωλύματος του υπαλλήλου για φυσική παρουσία, ο Ανάδοχος θα πρέπει να στείλει αντικαταστάτη του και να ενημερωθεί έγκαιρα το αρμόδιο Τμήμα </w:t>
            </w:r>
            <w:r w:rsidRPr="006A709D">
              <w:rPr>
                <w:rFonts w:cs="Calibri"/>
                <w:lang w:val="en-US"/>
              </w:rPr>
              <w:t>Hardware</w:t>
            </w:r>
            <w:r w:rsidRPr="006A709D">
              <w:rPr>
                <w:rFonts w:cs="Calibri"/>
              </w:rPr>
              <w:t xml:space="preserve"> (από την προηγούμενη ημέρα).</w:t>
            </w:r>
          </w:p>
        </w:tc>
        <w:tc>
          <w:tcPr>
            <w:tcW w:w="1116" w:type="dxa"/>
            <w:shd w:val="clear" w:color="auto" w:fill="auto"/>
            <w:vAlign w:val="center"/>
          </w:tcPr>
          <w:p w14:paraId="23783284"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5536C3EC"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1072A00" w14:textId="77777777" w:rsidR="006A709D" w:rsidRPr="006A709D" w:rsidRDefault="006A709D" w:rsidP="003647AF">
            <w:pPr>
              <w:pStyle w:val="Default"/>
              <w:spacing w:before="120"/>
              <w:jc w:val="center"/>
              <w:rPr>
                <w:b/>
                <w:bCs/>
                <w:color w:val="auto"/>
                <w:sz w:val="22"/>
                <w:szCs w:val="22"/>
              </w:rPr>
            </w:pPr>
          </w:p>
        </w:tc>
      </w:tr>
      <w:tr w:rsidR="006A709D" w:rsidRPr="006A709D" w14:paraId="109DC4A2" w14:textId="77777777" w:rsidTr="003647AF">
        <w:tc>
          <w:tcPr>
            <w:tcW w:w="604" w:type="dxa"/>
            <w:shd w:val="clear" w:color="auto" w:fill="auto"/>
            <w:vAlign w:val="center"/>
          </w:tcPr>
          <w:p w14:paraId="7179E946"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3</w:t>
            </w:r>
          </w:p>
        </w:tc>
        <w:tc>
          <w:tcPr>
            <w:tcW w:w="4490" w:type="dxa"/>
            <w:shd w:val="clear" w:color="auto" w:fill="auto"/>
            <w:vAlign w:val="center"/>
          </w:tcPr>
          <w:p w14:paraId="6CF706C2" w14:textId="77777777" w:rsidR="006A709D" w:rsidRPr="006A709D" w:rsidRDefault="006A709D" w:rsidP="003647AF">
            <w:pPr>
              <w:pStyle w:val="Default"/>
              <w:spacing w:before="120"/>
              <w:rPr>
                <w:b/>
                <w:bCs/>
                <w:color w:val="auto"/>
                <w:sz w:val="22"/>
                <w:szCs w:val="22"/>
              </w:rPr>
            </w:pPr>
            <w:r w:rsidRPr="006A709D">
              <w:rPr>
                <w:b/>
                <w:bCs/>
                <w:color w:val="auto"/>
                <w:sz w:val="22"/>
                <w:szCs w:val="22"/>
              </w:rPr>
              <w:t>Υπηρεσία Δικτύου</w:t>
            </w:r>
          </w:p>
          <w:p w14:paraId="5BCB22B5"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 xml:space="preserve">Καθημερινή παρακολούθηση λειτουργίας και αντιμετώπιση προβλημάτων </w:t>
            </w:r>
          </w:p>
          <w:p w14:paraId="1AFF58B1"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Διαχείριση και παραμετροποίηση δικτυακών συσκευών</w:t>
            </w:r>
          </w:p>
          <w:p w14:paraId="50FA3719"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Διαχείριση WiFi, παρακολούθηση λειτουργίας, εγκατάσταση νέων Access points, ρυθμίσεις ασφαλείας</w:t>
            </w:r>
          </w:p>
          <w:p w14:paraId="2A2087C9"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Αλλαγή στην τοπολογία, χρήση οπτικής σύνδεσης εάν είναι εφικτό, etherchannels εάν θεωρηθεί ότι απαιτούνται σε κάποιες περιπτώσεις</w:t>
            </w:r>
          </w:p>
          <w:p w14:paraId="3D05EB5C"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 xml:space="preserve">Διαχείριση και σχεδιασμός </w:t>
            </w:r>
            <w:r w:rsidRPr="006A709D">
              <w:rPr>
                <w:rFonts w:cs="Calibri"/>
                <w:lang w:val="en-US"/>
              </w:rPr>
              <w:t>vLans</w:t>
            </w:r>
          </w:p>
          <w:p w14:paraId="2722EAE3"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lang w:val="en-US"/>
              </w:rPr>
              <w:t>Backup</w:t>
            </w:r>
            <w:r w:rsidRPr="006A709D">
              <w:rPr>
                <w:rFonts w:cs="Calibri"/>
              </w:rPr>
              <w:t xml:space="preserve"> </w:t>
            </w:r>
            <w:r w:rsidRPr="006A709D">
              <w:rPr>
                <w:rFonts w:cs="Calibri"/>
                <w:lang w:val="en-US"/>
              </w:rPr>
              <w:t>switch</w:t>
            </w:r>
            <w:r w:rsidRPr="006A709D">
              <w:rPr>
                <w:rFonts w:cs="Calibri"/>
              </w:rPr>
              <w:t xml:space="preserve"> </w:t>
            </w:r>
            <w:r w:rsidRPr="006A709D">
              <w:rPr>
                <w:rFonts w:cs="Calibri"/>
                <w:lang w:val="en-US"/>
              </w:rPr>
              <w:t>configurations</w:t>
            </w:r>
            <w:r w:rsidRPr="006A709D">
              <w:rPr>
                <w:rFonts w:cs="Calibri"/>
              </w:rPr>
              <w:t xml:space="preserve"> (προγραμματισμός και έλεγχος λήψης)</w:t>
            </w:r>
          </w:p>
          <w:p w14:paraId="0199BE5E"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Έλεγχος εάν υπάρχουν backup γραμμές σύνδεσης μεταξύ των switch</w:t>
            </w:r>
          </w:p>
          <w:p w14:paraId="0228BC99"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Καταγραφή λίστας λειτουργικών και εφεδρικών switc</w:t>
            </w:r>
            <w:r w:rsidRPr="006A709D">
              <w:rPr>
                <w:rFonts w:cs="Calibri"/>
                <w:lang w:val="en-US"/>
              </w:rPr>
              <w:t>hes</w:t>
            </w:r>
          </w:p>
          <w:p w14:paraId="6FD7DFA5"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DNS Server (έλεγχος λειτουργίας υπάρχουσας εγκατάστασης, αντιμετώ</w:t>
            </w:r>
            <w:r w:rsidRPr="006A709D">
              <w:rPr>
                <w:rFonts w:cs="Calibri"/>
              </w:rPr>
              <w:lastRenderedPageBreak/>
              <w:t>πιση προβλημάτων, διορθωτικές ενέργειες)</w:t>
            </w:r>
          </w:p>
          <w:p w14:paraId="47ABACC5"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Διαχείριση γραμμών δικτύου δεδομένων. Καταγραφή της χρήσης για κάθε γραμμή και ποιες υπηρεσίες υποστηρίζει. Δυνατότητα εναλλαγής τους</w:t>
            </w:r>
          </w:p>
        </w:tc>
        <w:tc>
          <w:tcPr>
            <w:tcW w:w="1116" w:type="dxa"/>
            <w:shd w:val="clear" w:color="auto" w:fill="auto"/>
            <w:vAlign w:val="center"/>
          </w:tcPr>
          <w:p w14:paraId="200FDB68"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1B60F675"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71DB9987" w14:textId="77777777" w:rsidR="006A709D" w:rsidRPr="006A709D" w:rsidRDefault="006A709D" w:rsidP="003647AF">
            <w:pPr>
              <w:pStyle w:val="Default"/>
              <w:spacing w:before="120"/>
              <w:jc w:val="center"/>
              <w:rPr>
                <w:b/>
                <w:bCs/>
                <w:color w:val="auto"/>
                <w:sz w:val="22"/>
                <w:szCs w:val="22"/>
              </w:rPr>
            </w:pPr>
          </w:p>
        </w:tc>
      </w:tr>
      <w:tr w:rsidR="006A709D" w:rsidRPr="006A709D" w14:paraId="6B61AD6D" w14:textId="77777777" w:rsidTr="003647AF">
        <w:tc>
          <w:tcPr>
            <w:tcW w:w="604" w:type="dxa"/>
            <w:shd w:val="clear" w:color="auto" w:fill="auto"/>
            <w:vAlign w:val="center"/>
          </w:tcPr>
          <w:p w14:paraId="0F8D469B"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4</w:t>
            </w:r>
          </w:p>
        </w:tc>
        <w:tc>
          <w:tcPr>
            <w:tcW w:w="4490" w:type="dxa"/>
            <w:shd w:val="clear" w:color="auto" w:fill="auto"/>
            <w:vAlign w:val="center"/>
          </w:tcPr>
          <w:p w14:paraId="39DA7449" w14:textId="77777777" w:rsidR="006A709D" w:rsidRPr="006A709D" w:rsidRDefault="006A709D" w:rsidP="003647AF">
            <w:pPr>
              <w:pStyle w:val="Default"/>
              <w:spacing w:before="120"/>
              <w:rPr>
                <w:b/>
                <w:bCs/>
                <w:color w:val="auto"/>
                <w:sz w:val="22"/>
                <w:szCs w:val="22"/>
              </w:rPr>
            </w:pPr>
            <w:r w:rsidRPr="006A709D">
              <w:rPr>
                <w:b/>
                <w:bCs/>
                <w:color w:val="auto"/>
                <w:sz w:val="22"/>
                <w:szCs w:val="22"/>
              </w:rPr>
              <w:t>Υπηρεσία υποστήριξης Firewall</w:t>
            </w:r>
          </w:p>
          <w:p w14:paraId="0CABF568"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Να έχει ευχέρεια στη διαχείριση των διαφόρων πολιτικών (που αφορούν Vlans, subnets ή ακόμη και συγκεκριμένων IPs) που λειτουργούν στο Νοσοκομείο</w:t>
            </w:r>
          </w:p>
          <w:p w14:paraId="3BF244F0"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 xml:space="preserve">Διαχείριση πολιτικών </w:t>
            </w:r>
          </w:p>
          <w:p w14:paraId="584B80D4"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Καθημερινή παρακολούθηση logs και αντιμετώπιση προβλημάτων στην λειτουργία του, εφαρμογή ενημερώσεων (updates), πρόταση εφαρμογής νέων πολιτικών</w:t>
            </w:r>
          </w:p>
          <w:p w14:paraId="639A3675"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 xml:space="preserve">Δημιουργία λογαριασμών VPN, διαχείριση τους, ανανεώσεις και αντιμετώπιση προβλημάτων </w:t>
            </w:r>
          </w:p>
          <w:p w14:paraId="2E28007F"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Έγκαιρη (4 μήνες νωρίτερα) ενημέρωση της Υποδιεύθυνσης για τη λήξη των αδειών χρήσης του καθώς και για οποιοδήποτε άλλο θέμα αφορά αδειοδότηση (πρόσθετα εργαλεία κτλ)</w:t>
            </w:r>
          </w:p>
        </w:tc>
        <w:tc>
          <w:tcPr>
            <w:tcW w:w="1116" w:type="dxa"/>
            <w:shd w:val="clear" w:color="auto" w:fill="auto"/>
            <w:vAlign w:val="center"/>
          </w:tcPr>
          <w:p w14:paraId="4FA7C162"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71B29DBF"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6C5A9DB9" w14:textId="77777777" w:rsidR="006A709D" w:rsidRPr="006A709D" w:rsidRDefault="006A709D" w:rsidP="003647AF">
            <w:pPr>
              <w:pStyle w:val="Default"/>
              <w:spacing w:before="120"/>
              <w:jc w:val="center"/>
              <w:rPr>
                <w:b/>
                <w:bCs/>
                <w:color w:val="auto"/>
                <w:sz w:val="22"/>
                <w:szCs w:val="22"/>
              </w:rPr>
            </w:pPr>
          </w:p>
        </w:tc>
      </w:tr>
      <w:tr w:rsidR="006A709D" w:rsidRPr="006A709D" w14:paraId="6E27964D" w14:textId="77777777" w:rsidTr="003647AF">
        <w:tc>
          <w:tcPr>
            <w:tcW w:w="604" w:type="dxa"/>
            <w:shd w:val="clear" w:color="auto" w:fill="auto"/>
            <w:vAlign w:val="center"/>
          </w:tcPr>
          <w:p w14:paraId="1D472C1B"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5</w:t>
            </w:r>
          </w:p>
        </w:tc>
        <w:tc>
          <w:tcPr>
            <w:tcW w:w="4490" w:type="dxa"/>
            <w:shd w:val="clear" w:color="auto" w:fill="auto"/>
            <w:vAlign w:val="center"/>
          </w:tcPr>
          <w:p w14:paraId="4E73C4E0" w14:textId="77777777" w:rsidR="006A709D" w:rsidRPr="006A709D" w:rsidRDefault="006A709D" w:rsidP="003647AF">
            <w:pPr>
              <w:spacing w:after="0" w:line="242" w:lineRule="auto"/>
              <w:ind w:right="54"/>
              <w:rPr>
                <w:rFonts w:cs="Calibri"/>
                <w:b/>
                <w:bCs/>
                <w:lang w:val="en-US"/>
              </w:rPr>
            </w:pPr>
            <w:r w:rsidRPr="006A709D">
              <w:rPr>
                <w:rFonts w:cs="Calibri"/>
                <w:b/>
                <w:bCs/>
              </w:rPr>
              <w:t xml:space="preserve">Υπηρεσία υποστήριξης </w:t>
            </w:r>
            <w:r w:rsidRPr="006A709D">
              <w:rPr>
                <w:rFonts w:cs="Calibri"/>
                <w:b/>
                <w:bCs/>
                <w:lang w:val="en-US"/>
              </w:rPr>
              <w:t>ESET Protect</w:t>
            </w:r>
          </w:p>
          <w:p w14:paraId="4A54A0A3"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Λειτουργικότητα</w:t>
            </w:r>
          </w:p>
          <w:p w14:paraId="2BA37032"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Να έχει ευχέρεια στη διαχείριση των διαφόρων πολιτικών που λειτουργούν στο Νοσοκομείο</w:t>
            </w:r>
          </w:p>
          <w:p w14:paraId="381405FB"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Διαχείριση πολιτικών και πρόταση εφαρμογής νέων</w:t>
            </w:r>
          </w:p>
          <w:p w14:paraId="73364386"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Παραμετροποίηση (scheduled scans και άλλων Tasks)</w:t>
            </w:r>
          </w:p>
          <w:p w14:paraId="03C9679D"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Αντιμετώπιση θεμάτων επικοινωνίας με άλλες δικτυακές συσκευές</w:t>
            </w:r>
          </w:p>
          <w:p w14:paraId="6098B64B"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Καθημερινή παρακολούθηση logs, αντιμετώπιση των θεμάτων που προκύ</w:t>
            </w:r>
            <w:r w:rsidRPr="006A709D">
              <w:rPr>
                <w:rFonts w:cs="Calibri"/>
              </w:rPr>
              <w:lastRenderedPageBreak/>
              <w:t>πτουν και θεμάτων ασφαλείας του SOC, αντιμετώπιση προβλημάτων στην λειτουργία του, εφαρμογή ενημερώσεων (updates) λειτουργικού και κονσόλας.</w:t>
            </w:r>
          </w:p>
        </w:tc>
        <w:tc>
          <w:tcPr>
            <w:tcW w:w="1116" w:type="dxa"/>
            <w:shd w:val="clear" w:color="auto" w:fill="auto"/>
            <w:vAlign w:val="center"/>
          </w:tcPr>
          <w:p w14:paraId="5D96474B"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6939DF3C"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6C35FC93" w14:textId="77777777" w:rsidR="006A709D" w:rsidRPr="006A709D" w:rsidRDefault="006A709D" w:rsidP="003647AF">
            <w:pPr>
              <w:pStyle w:val="Default"/>
              <w:spacing w:before="120"/>
              <w:jc w:val="center"/>
              <w:rPr>
                <w:b/>
                <w:bCs/>
                <w:color w:val="auto"/>
                <w:sz w:val="22"/>
                <w:szCs w:val="22"/>
              </w:rPr>
            </w:pPr>
          </w:p>
        </w:tc>
      </w:tr>
      <w:tr w:rsidR="006A709D" w:rsidRPr="006A709D" w14:paraId="6F688359" w14:textId="77777777" w:rsidTr="003647AF">
        <w:tc>
          <w:tcPr>
            <w:tcW w:w="604" w:type="dxa"/>
            <w:shd w:val="clear" w:color="auto" w:fill="auto"/>
            <w:vAlign w:val="center"/>
          </w:tcPr>
          <w:p w14:paraId="7FBDEE65"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6</w:t>
            </w:r>
          </w:p>
        </w:tc>
        <w:tc>
          <w:tcPr>
            <w:tcW w:w="4490" w:type="dxa"/>
            <w:shd w:val="clear" w:color="auto" w:fill="auto"/>
            <w:vAlign w:val="center"/>
          </w:tcPr>
          <w:p w14:paraId="346FA495" w14:textId="77777777" w:rsidR="006A709D" w:rsidRPr="006A709D" w:rsidRDefault="006A709D" w:rsidP="003647AF">
            <w:pPr>
              <w:spacing w:after="0" w:line="242" w:lineRule="auto"/>
              <w:ind w:right="54"/>
              <w:rPr>
                <w:rFonts w:cs="Calibri"/>
                <w:b/>
                <w:bCs/>
                <w:lang w:val="en-US"/>
              </w:rPr>
            </w:pPr>
            <w:r w:rsidRPr="006A709D">
              <w:rPr>
                <w:rFonts w:cs="Calibri"/>
                <w:b/>
                <w:bCs/>
              </w:rPr>
              <w:t xml:space="preserve">Υπηρεσία υποστήριξης </w:t>
            </w:r>
            <w:r w:rsidRPr="006A709D">
              <w:rPr>
                <w:rFonts w:cs="Calibri"/>
                <w:b/>
                <w:bCs/>
                <w:lang w:val="en-US"/>
              </w:rPr>
              <w:t>Radius Server</w:t>
            </w:r>
          </w:p>
          <w:p w14:paraId="3A09C6C4"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Να έχει ευχέρεια στη διαχείριση των διαφόρων πολιτικών που λειτουργούν στο Νοσοκομείο</w:t>
            </w:r>
          </w:p>
          <w:p w14:paraId="241B107E"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 xml:space="preserve">Διαχείριση </w:t>
            </w:r>
          </w:p>
          <w:p w14:paraId="3D546998" w14:textId="77777777" w:rsidR="006A709D" w:rsidRPr="006A709D" w:rsidRDefault="006A709D" w:rsidP="006A709D">
            <w:pPr>
              <w:widowControl w:val="0"/>
              <w:numPr>
                <w:ilvl w:val="0"/>
                <w:numId w:val="41"/>
              </w:numPr>
              <w:shd w:val="clear" w:color="auto" w:fill="FFFFFF"/>
              <w:suppressAutoHyphens w:val="0"/>
              <w:autoSpaceDE w:val="0"/>
              <w:autoSpaceDN w:val="0"/>
              <w:adjustRightInd w:val="0"/>
              <w:spacing w:after="120" w:line="274" w:lineRule="exact"/>
              <w:ind w:left="714" w:right="6" w:hanging="357"/>
              <w:jc w:val="both"/>
              <w:rPr>
                <w:rFonts w:cs="Calibri"/>
              </w:rPr>
            </w:pPr>
            <w:r w:rsidRPr="006A709D">
              <w:rPr>
                <w:rFonts w:cs="Calibri"/>
              </w:rPr>
              <w:t>Υποστήριξη λειτουργίας του</w:t>
            </w:r>
          </w:p>
        </w:tc>
        <w:tc>
          <w:tcPr>
            <w:tcW w:w="1116" w:type="dxa"/>
            <w:shd w:val="clear" w:color="auto" w:fill="auto"/>
            <w:vAlign w:val="center"/>
          </w:tcPr>
          <w:p w14:paraId="6A63D26B"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128C49C9"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2AF7619D" w14:textId="77777777" w:rsidR="006A709D" w:rsidRPr="006A709D" w:rsidRDefault="006A709D" w:rsidP="003647AF">
            <w:pPr>
              <w:pStyle w:val="Default"/>
              <w:spacing w:before="120"/>
              <w:jc w:val="center"/>
              <w:rPr>
                <w:b/>
                <w:bCs/>
                <w:color w:val="auto"/>
                <w:sz w:val="22"/>
                <w:szCs w:val="22"/>
              </w:rPr>
            </w:pPr>
          </w:p>
        </w:tc>
      </w:tr>
      <w:tr w:rsidR="006A709D" w:rsidRPr="006A709D" w14:paraId="5FFEBC71" w14:textId="77777777" w:rsidTr="003647AF">
        <w:tc>
          <w:tcPr>
            <w:tcW w:w="604" w:type="dxa"/>
            <w:shd w:val="clear" w:color="auto" w:fill="auto"/>
            <w:vAlign w:val="center"/>
          </w:tcPr>
          <w:p w14:paraId="1783D9D5"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7</w:t>
            </w:r>
          </w:p>
        </w:tc>
        <w:tc>
          <w:tcPr>
            <w:tcW w:w="4490" w:type="dxa"/>
            <w:shd w:val="clear" w:color="auto" w:fill="auto"/>
            <w:vAlign w:val="center"/>
          </w:tcPr>
          <w:p w14:paraId="38487474" w14:textId="77777777" w:rsidR="006A709D" w:rsidRPr="006A709D" w:rsidRDefault="006A709D" w:rsidP="003647AF">
            <w:pPr>
              <w:spacing w:line="242" w:lineRule="auto"/>
              <w:ind w:right="54"/>
              <w:jc w:val="both"/>
              <w:rPr>
                <w:rFonts w:cs="Calibri"/>
                <w:bCs/>
              </w:rPr>
            </w:pPr>
            <w:r w:rsidRPr="006A709D">
              <w:rPr>
                <w:rFonts w:cs="Calibri"/>
                <w:bCs/>
              </w:rPr>
              <w:t>Η υπηρεσία αφορά επιτόπια εργασία ατόμου στον χώρο των Νοσοκομείων η οποία θα υποστηρίζεται από ομάδα Τεχνικών του αναδόχου με εξειδίκευση σε θέματα δικτύων δεδομένων και υπολογιστικών συστημάτων και υποδομών όπως αναφέρεται στο Β2.</w:t>
            </w:r>
          </w:p>
        </w:tc>
        <w:tc>
          <w:tcPr>
            <w:tcW w:w="1116" w:type="dxa"/>
            <w:shd w:val="clear" w:color="auto" w:fill="auto"/>
            <w:vAlign w:val="center"/>
          </w:tcPr>
          <w:p w14:paraId="4EA86932"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2DD881F3"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65FE187F" w14:textId="77777777" w:rsidR="006A709D" w:rsidRPr="006A709D" w:rsidRDefault="006A709D" w:rsidP="003647AF">
            <w:pPr>
              <w:pStyle w:val="Default"/>
              <w:spacing w:before="120"/>
              <w:jc w:val="center"/>
              <w:rPr>
                <w:b/>
                <w:bCs/>
                <w:color w:val="auto"/>
                <w:sz w:val="22"/>
                <w:szCs w:val="22"/>
              </w:rPr>
            </w:pPr>
          </w:p>
        </w:tc>
      </w:tr>
      <w:tr w:rsidR="006A709D" w:rsidRPr="006A709D" w14:paraId="5953C853" w14:textId="77777777" w:rsidTr="003647AF">
        <w:tc>
          <w:tcPr>
            <w:tcW w:w="604" w:type="dxa"/>
            <w:shd w:val="clear" w:color="auto" w:fill="auto"/>
            <w:vAlign w:val="center"/>
          </w:tcPr>
          <w:p w14:paraId="4A902200"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8</w:t>
            </w:r>
          </w:p>
        </w:tc>
        <w:tc>
          <w:tcPr>
            <w:tcW w:w="4490" w:type="dxa"/>
            <w:shd w:val="clear" w:color="auto" w:fill="auto"/>
            <w:vAlign w:val="center"/>
          </w:tcPr>
          <w:p w14:paraId="167549DF" w14:textId="77777777" w:rsidR="006A709D" w:rsidRPr="006A709D" w:rsidRDefault="006A709D" w:rsidP="003647AF">
            <w:pPr>
              <w:spacing w:line="242" w:lineRule="auto"/>
              <w:ind w:right="54"/>
              <w:jc w:val="both"/>
              <w:rPr>
                <w:rFonts w:cs="Calibri"/>
                <w:bCs/>
              </w:rPr>
            </w:pPr>
            <w:r w:rsidRPr="006A709D">
              <w:rPr>
                <w:rFonts w:cs="Calibri"/>
                <w:bCs/>
              </w:rPr>
              <w:t>Απαραίτητα προσόντα για την περιγραφόμενη θέση (ισχύουν και για τον αναπληρωτή του):</w:t>
            </w:r>
          </w:p>
          <w:p w14:paraId="2C9FAAC2" w14:textId="77777777" w:rsidR="006A709D" w:rsidRPr="006A709D" w:rsidRDefault="006A709D" w:rsidP="006A709D">
            <w:pPr>
              <w:numPr>
                <w:ilvl w:val="0"/>
                <w:numId w:val="40"/>
              </w:numPr>
              <w:tabs>
                <w:tab w:val="clear" w:pos="1260"/>
              </w:tabs>
              <w:suppressAutoHyphens w:val="0"/>
              <w:spacing w:after="0" w:line="242" w:lineRule="auto"/>
              <w:ind w:left="394" w:right="54"/>
              <w:jc w:val="both"/>
              <w:rPr>
                <w:rFonts w:cs="Calibri"/>
              </w:rPr>
            </w:pPr>
            <w:r w:rsidRPr="006A709D">
              <w:rPr>
                <w:rFonts w:cs="Calibri"/>
              </w:rPr>
              <w:t>ΠΕ ή ΤΕ ειδικότητας Πληροφορικής ή Ηλεκτρονικού</w:t>
            </w:r>
          </w:p>
          <w:p w14:paraId="0466978B" w14:textId="77777777" w:rsidR="006A709D" w:rsidRPr="006A709D" w:rsidRDefault="006A709D" w:rsidP="006A709D">
            <w:pPr>
              <w:numPr>
                <w:ilvl w:val="0"/>
                <w:numId w:val="40"/>
              </w:numPr>
              <w:tabs>
                <w:tab w:val="clear" w:pos="1260"/>
              </w:tabs>
              <w:suppressAutoHyphens w:val="0"/>
              <w:spacing w:after="0" w:line="242" w:lineRule="auto"/>
              <w:ind w:left="394" w:right="54"/>
              <w:jc w:val="both"/>
              <w:rPr>
                <w:rFonts w:cs="Calibri"/>
              </w:rPr>
            </w:pPr>
            <w:r w:rsidRPr="006A709D">
              <w:rPr>
                <w:rFonts w:cs="Calibri"/>
              </w:rPr>
              <w:t>Αποδεδειγμένη προϋπηρεσία δυο (2) τουλάχιστον ετών σε αντίστοιχη θέση</w:t>
            </w:r>
          </w:p>
          <w:p w14:paraId="6ED05269" w14:textId="77777777" w:rsidR="006A709D" w:rsidRPr="006A709D" w:rsidRDefault="006A709D" w:rsidP="003647AF">
            <w:pPr>
              <w:spacing w:line="242" w:lineRule="auto"/>
              <w:ind w:right="54"/>
              <w:rPr>
                <w:rFonts w:cs="Calibri"/>
              </w:rPr>
            </w:pPr>
          </w:p>
        </w:tc>
        <w:tc>
          <w:tcPr>
            <w:tcW w:w="1116" w:type="dxa"/>
            <w:shd w:val="clear" w:color="auto" w:fill="auto"/>
            <w:vAlign w:val="center"/>
          </w:tcPr>
          <w:p w14:paraId="48F678B6"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3281AD9E"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3EE5586" w14:textId="77777777" w:rsidR="006A709D" w:rsidRPr="006A709D" w:rsidRDefault="006A709D" w:rsidP="003647AF">
            <w:pPr>
              <w:pStyle w:val="Default"/>
              <w:spacing w:before="120"/>
              <w:jc w:val="center"/>
              <w:rPr>
                <w:b/>
                <w:bCs/>
                <w:color w:val="auto"/>
                <w:sz w:val="22"/>
                <w:szCs w:val="22"/>
              </w:rPr>
            </w:pPr>
          </w:p>
        </w:tc>
      </w:tr>
      <w:tr w:rsidR="006A709D" w:rsidRPr="006A709D" w14:paraId="13820781" w14:textId="77777777" w:rsidTr="003647AF">
        <w:tc>
          <w:tcPr>
            <w:tcW w:w="604" w:type="dxa"/>
            <w:shd w:val="clear" w:color="auto" w:fill="auto"/>
            <w:vAlign w:val="center"/>
          </w:tcPr>
          <w:p w14:paraId="7E38FF66"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9</w:t>
            </w:r>
          </w:p>
        </w:tc>
        <w:tc>
          <w:tcPr>
            <w:tcW w:w="4490" w:type="dxa"/>
            <w:shd w:val="clear" w:color="auto" w:fill="auto"/>
            <w:vAlign w:val="center"/>
          </w:tcPr>
          <w:p w14:paraId="6BAAF7CB" w14:textId="77777777" w:rsidR="006A709D" w:rsidRPr="006A709D" w:rsidRDefault="006A709D" w:rsidP="003647AF">
            <w:pPr>
              <w:tabs>
                <w:tab w:val="num" w:pos="720"/>
              </w:tabs>
              <w:spacing w:after="0" w:line="242" w:lineRule="auto"/>
              <w:ind w:right="54"/>
              <w:jc w:val="both"/>
              <w:rPr>
                <w:rFonts w:cs="Calibri"/>
                <w:bCs/>
              </w:rPr>
            </w:pPr>
            <w:r w:rsidRPr="006A709D">
              <w:rPr>
                <w:rFonts w:cs="Calibri"/>
              </w:rPr>
              <w:t xml:space="preserve">Ο τεχνικός θα πρέπει να έχει την </w:t>
            </w:r>
            <w:r w:rsidRPr="006A709D">
              <w:rPr>
                <w:rFonts w:cs="Calibri"/>
                <w:u w:val="single"/>
              </w:rPr>
              <w:t>άμεση</w:t>
            </w:r>
            <w:r w:rsidRPr="006A709D">
              <w:rPr>
                <w:rFonts w:cs="Calibri"/>
              </w:rPr>
              <w:t xml:space="preserve"> υποστήριξη των Τμημάτων Δικτύου και Υποδομών του Αναδόχου για οποιοδήποτε θέμα καλείται να αντιμετωπίσει.</w:t>
            </w:r>
          </w:p>
        </w:tc>
        <w:tc>
          <w:tcPr>
            <w:tcW w:w="1116" w:type="dxa"/>
            <w:shd w:val="clear" w:color="auto" w:fill="auto"/>
            <w:vAlign w:val="center"/>
          </w:tcPr>
          <w:p w14:paraId="18F11DCF"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751159CD"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5AEF1E1" w14:textId="77777777" w:rsidR="006A709D" w:rsidRPr="006A709D" w:rsidRDefault="006A709D" w:rsidP="003647AF">
            <w:pPr>
              <w:pStyle w:val="Default"/>
              <w:spacing w:before="120"/>
              <w:jc w:val="center"/>
              <w:rPr>
                <w:b/>
                <w:bCs/>
                <w:color w:val="auto"/>
                <w:sz w:val="22"/>
                <w:szCs w:val="22"/>
              </w:rPr>
            </w:pPr>
          </w:p>
        </w:tc>
      </w:tr>
      <w:tr w:rsidR="006A709D" w:rsidRPr="006A709D" w14:paraId="0D996568" w14:textId="77777777" w:rsidTr="003647AF">
        <w:tc>
          <w:tcPr>
            <w:tcW w:w="604" w:type="dxa"/>
            <w:shd w:val="clear" w:color="auto" w:fill="auto"/>
            <w:vAlign w:val="center"/>
          </w:tcPr>
          <w:p w14:paraId="7E668D44"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10</w:t>
            </w:r>
          </w:p>
        </w:tc>
        <w:tc>
          <w:tcPr>
            <w:tcW w:w="4490" w:type="dxa"/>
            <w:shd w:val="clear" w:color="auto" w:fill="auto"/>
            <w:vAlign w:val="center"/>
          </w:tcPr>
          <w:p w14:paraId="3F466CC1" w14:textId="77777777" w:rsidR="006A709D" w:rsidRPr="006A709D" w:rsidRDefault="006A709D" w:rsidP="003647AF">
            <w:pPr>
              <w:spacing w:line="242" w:lineRule="auto"/>
              <w:ind w:right="54"/>
              <w:rPr>
                <w:rFonts w:cs="Calibri"/>
              </w:rPr>
            </w:pPr>
            <w:r w:rsidRPr="006A709D">
              <w:rPr>
                <w:rFonts w:cs="Calibri"/>
              </w:rPr>
              <w:t>Βεβαίωση επιτόπιας επίσκεψης για έλεγχο των υποδομών</w:t>
            </w:r>
          </w:p>
        </w:tc>
        <w:tc>
          <w:tcPr>
            <w:tcW w:w="1116" w:type="dxa"/>
            <w:shd w:val="clear" w:color="auto" w:fill="auto"/>
            <w:vAlign w:val="center"/>
          </w:tcPr>
          <w:p w14:paraId="0BC6F61E"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6ADC93BE"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2B1CDEBB" w14:textId="77777777" w:rsidR="006A709D" w:rsidRPr="006A709D" w:rsidRDefault="006A709D" w:rsidP="003647AF">
            <w:pPr>
              <w:pStyle w:val="Default"/>
              <w:spacing w:before="120"/>
              <w:jc w:val="center"/>
              <w:rPr>
                <w:b/>
                <w:bCs/>
                <w:color w:val="auto"/>
                <w:sz w:val="22"/>
                <w:szCs w:val="22"/>
              </w:rPr>
            </w:pPr>
          </w:p>
        </w:tc>
      </w:tr>
      <w:tr w:rsidR="006A709D" w:rsidRPr="006A709D" w14:paraId="515BB601" w14:textId="77777777" w:rsidTr="003647AF">
        <w:tc>
          <w:tcPr>
            <w:tcW w:w="604" w:type="dxa"/>
            <w:shd w:val="clear" w:color="auto" w:fill="auto"/>
            <w:vAlign w:val="center"/>
          </w:tcPr>
          <w:p w14:paraId="50D40678"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11</w:t>
            </w:r>
          </w:p>
        </w:tc>
        <w:tc>
          <w:tcPr>
            <w:tcW w:w="4490" w:type="dxa"/>
            <w:shd w:val="clear" w:color="auto" w:fill="auto"/>
            <w:vAlign w:val="center"/>
          </w:tcPr>
          <w:p w14:paraId="71091291" w14:textId="77777777" w:rsidR="006A709D" w:rsidRPr="006A709D" w:rsidRDefault="006A709D" w:rsidP="003647AF">
            <w:pPr>
              <w:spacing w:line="242" w:lineRule="auto"/>
              <w:ind w:right="54"/>
              <w:rPr>
                <w:rFonts w:cs="Calibri"/>
              </w:rPr>
            </w:pPr>
            <w:r w:rsidRPr="006A709D">
              <w:rPr>
                <w:rFonts w:eastAsia="Times New Roman"/>
              </w:rPr>
              <w:t>Έπειτα από την υπογραφή της σύμβασης και την έναρξη της υπηρεσίας, εάν τα επίπεδα υπηρεσιών δεν είναι τα επιθυμητά, το Νοσοκομείο έχει δικαίωμα να ζητήσει την αντικατάσταση του υπαλλήλου με άλλον κατέχοντα τα ίδια (όπως αναφέρονται στην προκήρυξη) ή περισσότερα προσόντα, η οποία θα πρέπει να γίνει εντός ενός (1) μήνα, από το σχετικό έγγραφο αίτημα.</w:t>
            </w:r>
          </w:p>
        </w:tc>
        <w:tc>
          <w:tcPr>
            <w:tcW w:w="1116" w:type="dxa"/>
            <w:shd w:val="clear" w:color="auto" w:fill="auto"/>
            <w:vAlign w:val="center"/>
          </w:tcPr>
          <w:p w14:paraId="041A30E0"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7BD1BFF0"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8BD4DBA" w14:textId="77777777" w:rsidR="006A709D" w:rsidRPr="006A709D" w:rsidRDefault="006A709D" w:rsidP="003647AF">
            <w:pPr>
              <w:pStyle w:val="Default"/>
              <w:spacing w:before="120"/>
              <w:jc w:val="center"/>
              <w:rPr>
                <w:b/>
                <w:bCs/>
                <w:color w:val="auto"/>
                <w:sz w:val="22"/>
                <w:szCs w:val="22"/>
              </w:rPr>
            </w:pPr>
          </w:p>
        </w:tc>
      </w:tr>
      <w:tr w:rsidR="006A709D" w:rsidRPr="006A709D" w14:paraId="0F2DCBEB" w14:textId="77777777" w:rsidTr="003647AF">
        <w:tc>
          <w:tcPr>
            <w:tcW w:w="604" w:type="dxa"/>
            <w:shd w:val="clear" w:color="auto" w:fill="auto"/>
            <w:vAlign w:val="center"/>
          </w:tcPr>
          <w:p w14:paraId="4662319C"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12</w:t>
            </w:r>
          </w:p>
        </w:tc>
        <w:tc>
          <w:tcPr>
            <w:tcW w:w="4490" w:type="dxa"/>
            <w:shd w:val="clear" w:color="auto" w:fill="auto"/>
            <w:vAlign w:val="center"/>
          </w:tcPr>
          <w:p w14:paraId="40160111" w14:textId="77777777" w:rsidR="006A709D" w:rsidRPr="006A709D" w:rsidRDefault="006A709D" w:rsidP="003647AF">
            <w:pPr>
              <w:spacing w:line="242" w:lineRule="auto"/>
              <w:ind w:right="54"/>
              <w:rPr>
                <w:rFonts w:cs="Calibri"/>
              </w:rPr>
            </w:pPr>
            <w:r w:rsidRPr="006A709D">
              <w:rPr>
                <w:rFonts w:eastAsia="Times New Roman"/>
              </w:rPr>
              <w:t xml:space="preserve">Οι εργαζόμενοι που θα παρέχουν τις </w:t>
            </w:r>
            <w:r w:rsidRPr="006A709D">
              <w:rPr>
                <w:rFonts w:eastAsia="Times New Roman"/>
              </w:rPr>
              <w:lastRenderedPageBreak/>
              <w:t>υπηρεσίες τεχνικής υποστήριξης θα πρέπει να υπογράψουν δήλωση τήρησης εμπιστευτικότητας σύμφωνη με τα πρότυπα του Γενικού Κανονισμού Προστασίας Δεδομένων του Νοσοκομείου.</w:t>
            </w:r>
          </w:p>
        </w:tc>
        <w:tc>
          <w:tcPr>
            <w:tcW w:w="1116" w:type="dxa"/>
            <w:shd w:val="clear" w:color="auto" w:fill="auto"/>
            <w:vAlign w:val="center"/>
          </w:tcPr>
          <w:p w14:paraId="2733C963"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08C19723"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05CFC7BA" w14:textId="77777777" w:rsidR="006A709D" w:rsidRPr="006A709D" w:rsidRDefault="006A709D" w:rsidP="003647AF">
            <w:pPr>
              <w:pStyle w:val="Default"/>
              <w:spacing w:before="120"/>
              <w:jc w:val="center"/>
              <w:rPr>
                <w:b/>
                <w:bCs/>
                <w:color w:val="auto"/>
                <w:sz w:val="22"/>
                <w:szCs w:val="22"/>
              </w:rPr>
            </w:pPr>
          </w:p>
        </w:tc>
      </w:tr>
      <w:tr w:rsidR="006A709D" w:rsidRPr="006A709D" w14:paraId="01A7E1FD" w14:textId="77777777" w:rsidTr="003647AF">
        <w:tc>
          <w:tcPr>
            <w:tcW w:w="604" w:type="dxa"/>
            <w:shd w:val="clear" w:color="auto" w:fill="auto"/>
            <w:vAlign w:val="center"/>
          </w:tcPr>
          <w:p w14:paraId="6AF4A353" w14:textId="77777777" w:rsidR="006A709D" w:rsidRPr="006A709D" w:rsidRDefault="006A709D" w:rsidP="003647AF">
            <w:pPr>
              <w:pStyle w:val="Default"/>
              <w:spacing w:before="120"/>
              <w:jc w:val="center"/>
              <w:rPr>
                <w:b/>
                <w:bCs/>
                <w:color w:val="auto"/>
                <w:sz w:val="22"/>
                <w:szCs w:val="22"/>
              </w:rPr>
            </w:pPr>
          </w:p>
        </w:tc>
        <w:tc>
          <w:tcPr>
            <w:tcW w:w="4490" w:type="dxa"/>
            <w:shd w:val="clear" w:color="auto" w:fill="auto"/>
            <w:vAlign w:val="center"/>
          </w:tcPr>
          <w:p w14:paraId="462AA6C1" w14:textId="77777777" w:rsidR="006A709D" w:rsidRPr="006A709D" w:rsidRDefault="006A709D" w:rsidP="003647AF">
            <w:pPr>
              <w:spacing w:line="242" w:lineRule="auto"/>
              <w:ind w:right="54"/>
              <w:rPr>
                <w:rFonts w:cs="Calibri"/>
                <w:b/>
                <w:bCs/>
                <w:lang w:val="en-US"/>
              </w:rPr>
            </w:pPr>
            <w:r w:rsidRPr="006A709D">
              <w:rPr>
                <w:rFonts w:cs="Calibri"/>
                <w:b/>
                <w:bCs/>
                <w:lang w:val="en-US"/>
              </w:rPr>
              <w:t>ΕΠΑΓΓΕΛΜΑΤΙΚΗ ΕΠΑΡΚΕΙΑ</w:t>
            </w:r>
          </w:p>
        </w:tc>
        <w:tc>
          <w:tcPr>
            <w:tcW w:w="1116" w:type="dxa"/>
            <w:shd w:val="clear" w:color="auto" w:fill="auto"/>
            <w:vAlign w:val="center"/>
          </w:tcPr>
          <w:p w14:paraId="6D4C20D6" w14:textId="77777777" w:rsidR="006A709D" w:rsidRPr="006A709D" w:rsidRDefault="006A709D" w:rsidP="003647AF">
            <w:pPr>
              <w:pStyle w:val="Default"/>
              <w:spacing w:before="120"/>
              <w:jc w:val="center"/>
              <w:rPr>
                <w:b/>
                <w:bCs/>
                <w:color w:val="auto"/>
                <w:sz w:val="22"/>
                <w:szCs w:val="22"/>
              </w:rPr>
            </w:pPr>
          </w:p>
        </w:tc>
        <w:tc>
          <w:tcPr>
            <w:tcW w:w="1156" w:type="dxa"/>
            <w:shd w:val="clear" w:color="auto" w:fill="auto"/>
            <w:vAlign w:val="center"/>
          </w:tcPr>
          <w:p w14:paraId="1C94B312"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0FA680CD" w14:textId="77777777" w:rsidR="006A709D" w:rsidRPr="006A709D" w:rsidRDefault="006A709D" w:rsidP="003647AF">
            <w:pPr>
              <w:pStyle w:val="Default"/>
              <w:spacing w:before="120"/>
              <w:jc w:val="center"/>
              <w:rPr>
                <w:b/>
                <w:bCs/>
                <w:color w:val="auto"/>
                <w:sz w:val="22"/>
                <w:szCs w:val="22"/>
              </w:rPr>
            </w:pPr>
          </w:p>
        </w:tc>
      </w:tr>
      <w:tr w:rsidR="006A709D" w:rsidRPr="006A709D" w14:paraId="46A6559F" w14:textId="77777777" w:rsidTr="003647AF">
        <w:tc>
          <w:tcPr>
            <w:tcW w:w="604" w:type="dxa"/>
            <w:shd w:val="clear" w:color="auto" w:fill="auto"/>
            <w:vAlign w:val="center"/>
          </w:tcPr>
          <w:p w14:paraId="20954C27"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1</w:t>
            </w:r>
          </w:p>
        </w:tc>
        <w:tc>
          <w:tcPr>
            <w:tcW w:w="4490" w:type="dxa"/>
            <w:shd w:val="clear" w:color="auto" w:fill="auto"/>
            <w:vAlign w:val="center"/>
          </w:tcPr>
          <w:p w14:paraId="1A973236" w14:textId="77777777" w:rsidR="006A709D" w:rsidRPr="006A709D" w:rsidRDefault="006A709D" w:rsidP="003647AF">
            <w:pPr>
              <w:spacing w:line="242" w:lineRule="auto"/>
              <w:ind w:left="-11" w:right="54"/>
              <w:jc w:val="both"/>
              <w:rPr>
                <w:rFonts w:cs="Calibri"/>
                <w:b/>
                <w:u w:val="single"/>
              </w:rPr>
            </w:pPr>
            <w:r w:rsidRPr="006A709D">
              <w:rPr>
                <w:rFonts w:cs="Calibri"/>
              </w:rPr>
              <w:t>Ο υποψήφιος ανάδοχος θα πρέπει να έχει υλοποιήσει ή να υλοποιεί ένα τουλάχιστον συναφές έργο κατά την τελευταία τριετία (2021-2022-2023) το οποίο να αφορά δίκτυο με πάνω από 600 ΗΥ. Οι παραδόσεις αποδεικνύονται εάν μεν ο αποδέκτης είναι αναθέτουσα αρχή, με πιστοποιητικά που έχουν εκδοθεί ή θεωρηθεί από την αρμόδια αρχή, εάν δε (ο αποδέκτης) είναι ιδιωτικός φορέας, με βεβαίωση του αγοραστή ή, εφόσον τούτο δεν είναι δυνατόν, με απλή δήλωση του οικονομικού φορέα και πίνακα συναφών έργων</w:t>
            </w:r>
          </w:p>
        </w:tc>
        <w:tc>
          <w:tcPr>
            <w:tcW w:w="1116" w:type="dxa"/>
            <w:shd w:val="clear" w:color="auto" w:fill="auto"/>
            <w:vAlign w:val="center"/>
          </w:tcPr>
          <w:p w14:paraId="356E0FE1"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5A640D28"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4B599498" w14:textId="77777777" w:rsidR="006A709D" w:rsidRPr="006A709D" w:rsidRDefault="006A709D" w:rsidP="003647AF">
            <w:pPr>
              <w:pStyle w:val="Default"/>
              <w:spacing w:before="120"/>
              <w:jc w:val="center"/>
              <w:rPr>
                <w:b/>
                <w:bCs/>
                <w:color w:val="auto"/>
                <w:sz w:val="22"/>
                <w:szCs w:val="22"/>
              </w:rPr>
            </w:pPr>
          </w:p>
        </w:tc>
      </w:tr>
      <w:tr w:rsidR="006A709D" w:rsidRPr="006A709D" w14:paraId="3193C72C" w14:textId="77777777" w:rsidTr="003647AF">
        <w:tc>
          <w:tcPr>
            <w:tcW w:w="604" w:type="dxa"/>
            <w:shd w:val="clear" w:color="auto" w:fill="auto"/>
            <w:vAlign w:val="center"/>
          </w:tcPr>
          <w:p w14:paraId="762F9CC2"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2</w:t>
            </w:r>
          </w:p>
        </w:tc>
        <w:tc>
          <w:tcPr>
            <w:tcW w:w="4490" w:type="dxa"/>
            <w:shd w:val="clear" w:color="auto" w:fill="auto"/>
            <w:vAlign w:val="center"/>
          </w:tcPr>
          <w:p w14:paraId="1B9DC32D" w14:textId="77777777" w:rsidR="006A709D" w:rsidRPr="006A709D" w:rsidRDefault="006A709D" w:rsidP="003647AF">
            <w:pPr>
              <w:spacing w:line="242" w:lineRule="auto"/>
              <w:ind w:left="-11" w:right="54"/>
              <w:jc w:val="both"/>
              <w:rPr>
                <w:rFonts w:cs="Calibri"/>
              </w:rPr>
            </w:pPr>
            <w:r w:rsidRPr="006A709D">
              <w:rPr>
                <w:rFonts w:cs="Calibri"/>
              </w:rPr>
              <w:t>Ο υποψήφιος ανάδοχος να διαθέτει Οργανωμένο Βλαβοληπτικό Κέντρο (Network Operation Center) και  Επιχειρησιακό Κέντρο Ασφάλειας (Security Operation Center)  με 24ώρη λειτουργία.</w:t>
            </w:r>
          </w:p>
        </w:tc>
        <w:tc>
          <w:tcPr>
            <w:tcW w:w="1116" w:type="dxa"/>
            <w:shd w:val="clear" w:color="auto" w:fill="auto"/>
            <w:vAlign w:val="center"/>
          </w:tcPr>
          <w:p w14:paraId="0E556334"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7CCB6ACC"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22CD1B0F" w14:textId="77777777" w:rsidR="006A709D" w:rsidRPr="006A709D" w:rsidRDefault="006A709D" w:rsidP="003647AF">
            <w:pPr>
              <w:pStyle w:val="Default"/>
              <w:spacing w:before="120"/>
              <w:jc w:val="center"/>
              <w:rPr>
                <w:b/>
                <w:bCs/>
                <w:color w:val="auto"/>
                <w:sz w:val="22"/>
                <w:szCs w:val="22"/>
              </w:rPr>
            </w:pPr>
          </w:p>
        </w:tc>
      </w:tr>
      <w:tr w:rsidR="006A709D" w:rsidRPr="006A709D" w14:paraId="60459FDD" w14:textId="77777777" w:rsidTr="003647AF">
        <w:tc>
          <w:tcPr>
            <w:tcW w:w="604" w:type="dxa"/>
            <w:shd w:val="clear" w:color="auto" w:fill="auto"/>
            <w:vAlign w:val="center"/>
          </w:tcPr>
          <w:p w14:paraId="0D4CA9B8"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3</w:t>
            </w:r>
          </w:p>
        </w:tc>
        <w:tc>
          <w:tcPr>
            <w:tcW w:w="4490" w:type="dxa"/>
            <w:shd w:val="clear" w:color="auto" w:fill="auto"/>
            <w:vAlign w:val="center"/>
          </w:tcPr>
          <w:p w14:paraId="5117BD4D" w14:textId="77777777" w:rsidR="006A709D" w:rsidRPr="006A709D" w:rsidRDefault="006A709D" w:rsidP="003647AF">
            <w:pPr>
              <w:spacing w:line="242" w:lineRule="auto"/>
              <w:ind w:left="-11" w:right="54"/>
              <w:jc w:val="both"/>
              <w:rPr>
                <w:rFonts w:cs="Calibri"/>
              </w:rPr>
            </w:pPr>
            <w:r w:rsidRPr="006A709D">
              <w:rPr>
                <w:rFonts w:cs="Calibri"/>
              </w:rPr>
              <w:t xml:space="preserve">Προκειμένου να τηρηθούν οι αρχές της εμπιστευτικότητας, της ακεραιότητας, της διαθεσιμότητας και οι βασικές αρχές  Διαχείρισης Επιχειρησιακής Συνέχειας του οργανισμού κατά τη διάρκεια υλοποίησης του έργου, ο ανάδοχος οφείλει να διαθέτει προσωπικό με τις κάτωθι πιστοποιήσεις σωρευτικά:  </w:t>
            </w:r>
          </w:p>
          <w:p w14:paraId="16C61B6D" w14:textId="77777777" w:rsidR="006A709D" w:rsidRPr="006A709D" w:rsidRDefault="006A709D" w:rsidP="006A709D">
            <w:pPr>
              <w:numPr>
                <w:ilvl w:val="0"/>
                <w:numId w:val="43"/>
              </w:numPr>
              <w:suppressAutoHyphens w:val="0"/>
              <w:spacing w:after="0" w:line="360" w:lineRule="auto"/>
              <w:ind w:left="567" w:hanging="207"/>
              <w:jc w:val="both"/>
              <w:rPr>
                <w:rFonts w:cs="Calibri"/>
                <w:lang w:val="en-US"/>
              </w:rPr>
            </w:pPr>
            <w:r w:rsidRPr="006A709D">
              <w:rPr>
                <w:rFonts w:cs="Calibri"/>
                <w:lang w:val="en-US"/>
              </w:rPr>
              <w:t xml:space="preserve">CISM (Certified Information Security Manager) </w:t>
            </w:r>
          </w:p>
          <w:p w14:paraId="4916E004" w14:textId="77777777" w:rsidR="006A709D" w:rsidRPr="006A709D" w:rsidRDefault="006A709D" w:rsidP="003647AF">
            <w:pPr>
              <w:spacing w:after="0" w:line="360" w:lineRule="auto"/>
              <w:ind w:left="284"/>
              <w:jc w:val="both"/>
              <w:rPr>
                <w:rFonts w:cs="Calibri"/>
                <w:lang w:val="en-US"/>
              </w:rPr>
            </w:pPr>
            <w:r w:rsidRPr="006A709D">
              <w:rPr>
                <w:rFonts w:cs="Calibri"/>
                <w:lang w:val="en-US"/>
              </w:rPr>
              <w:t xml:space="preserve">ii. CISSP (Certified Information System Security Professional) </w:t>
            </w:r>
          </w:p>
          <w:p w14:paraId="0D9CD4DE" w14:textId="77777777" w:rsidR="006A709D" w:rsidRPr="006A709D" w:rsidRDefault="006A709D" w:rsidP="003647AF">
            <w:pPr>
              <w:spacing w:after="0" w:line="360" w:lineRule="auto"/>
              <w:ind w:left="284"/>
              <w:jc w:val="both"/>
              <w:rPr>
                <w:rFonts w:cs="Calibri"/>
                <w:lang w:val="en-US"/>
              </w:rPr>
            </w:pPr>
            <w:r w:rsidRPr="006A709D">
              <w:rPr>
                <w:rFonts w:cs="Calibri"/>
                <w:lang w:val="en-US"/>
              </w:rPr>
              <w:t xml:space="preserve">iii. ISO 27032 Cybersecurity Manager  </w:t>
            </w:r>
          </w:p>
          <w:p w14:paraId="549F1333" w14:textId="77777777" w:rsidR="006A709D" w:rsidRPr="006A709D" w:rsidRDefault="006A709D" w:rsidP="003647AF">
            <w:pPr>
              <w:spacing w:after="0" w:line="360" w:lineRule="auto"/>
              <w:ind w:left="284"/>
              <w:jc w:val="both"/>
              <w:rPr>
                <w:rFonts w:cs="Calibri"/>
                <w:lang w:val="en-US"/>
              </w:rPr>
            </w:pPr>
            <w:r w:rsidRPr="006A709D">
              <w:rPr>
                <w:rFonts w:cs="Calibri"/>
                <w:lang w:val="en-US"/>
              </w:rPr>
              <w:t xml:space="preserve">iv. ISO 27001 Lead Auditor   </w:t>
            </w:r>
          </w:p>
          <w:p w14:paraId="75B08176" w14:textId="77777777" w:rsidR="006A709D" w:rsidRPr="006A709D" w:rsidRDefault="006A709D" w:rsidP="003647AF">
            <w:pPr>
              <w:spacing w:after="0" w:line="360" w:lineRule="auto"/>
              <w:ind w:left="284"/>
              <w:jc w:val="both"/>
              <w:rPr>
                <w:rFonts w:cs="Calibri"/>
                <w:lang w:val="en-US"/>
              </w:rPr>
            </w:pPr>
            <w:r w:rsidRPr="006A709D">
              <w:rPr>
                <w:rFonts w:cs="Calibri"/>
                <w:lang w:val="en-US"/>
              </w:rPr>
              <w:t>v. ISO 22301 Lead Auditor</w:t>
            </w:r>
          </w:p>
          <w:p w14:paraId="0F638854" w14:textId="77777777" w:rsidR="006A709D" w:rsidRPr="006A709D" w:rsidRDefault="006A709D" w:rsidP="003647AF">
            <w:pPr>
              <w:spacing w:after="0" w:line="360" w:lineRule="auto"/>
              <w:ind w:left="284"/>
              <w:jc w:val="both"/>
              <w:rPr>
                <w:rFonts w:cs="Calibri"/>
                <w:lang w:val="en-US"/>
              </w:rPr>
            </w:pPr>
            <w:r w:rsidRPr="006A709D">
              <w:rPr>
                <w:rFonts w:cs="Calibri"/>
                <w:lang w:val="en-US"/>
              </w:rPr>
              <w:lastRenderedPageBreak/>
              <w:t>vi ISO 31000 Lead Risk Manager</w:t>
            </w:r>
          </w:p>
          <w:p w14:paraId="7871A6C0" w14:textId="77777777" w:rsidR="006A709D" w:rsidRPr="006A709D" w:rsidRDefault="006A709D" w:rsidP="003647AF">
            <w:pPr>
              <w:spacing w:line="242" w:lineRule="auto"/>
              <w:ind w:right="54"/>
              <w:rPr>
                <w:rFonts w:cs="Calibri"/>
              </w:rPr>
            </w:pPr>
            <w:r w:rsidRPr="006A709D">
              <w:rPr>
                <w:rFonts w:cs="Calibri"/>
                <w:lang w:val="en-US"/>
              </w:rPr>
              <w:t>vii</w:t>
            </w:r>
            <w:r w:rsidRPr="006A709D">
              <w:rPr>
                <w:rFonts w:cs="Calibri"/>
              </w:rPr>
              <w:t>. ISO 20000  Lead Implementer</w:t>
            </w:r>
          </w:p>
        </w:tc>
        <w:tc>
          <w:tcPr>
            <w:tcW w:w="1116" w:type="dxa"/>
            <w:shd w:val="clear" w:color="auto" w:fill="auto"/>
            <w:vAlign w:val="center"/>
          </w:tcPr>
          <w:p w14:paraId="3B170258"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7CC1C7B3"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1172726" w14:textId="77777777" w:rsidR="006A709D" w:rsidRPr="006A709D" w:rsidRDefault="006A709D" w:rsidP="003647AF">
            <w:pPr>
              <w:pStyle w:val="Default"/>
              <w:spacing w:before="120"/>
              <w:jc w:val="center"/>
              <w:rPr>
                <w:b/>
                <w:bCs/>
                <w:color w:val="auto"/>
                <w:sz w:val="22"/>
                <w:szCs w:val="22"/>
              </w:rPr>
            </w:pPr>
          </w:p>
        </w:tc>
      </w:tr>
      <w:tr w:rsidR="006A709D" w:rsidRPr="006A709D" w14:paraId="6E1CBF67" w14:textId="77777777" w:rsidTr="003647AF">
        <w:tc>
          <w:tcPr>
            <w:tcW w:w="604" w:type="dxa"/>
            <w:shd w:val="clear" w:color="auto" w:fill="auto"/>
            <w:vAlign w:val="center"/>
          </w:tcPr>
          <w:p w14:paraId="6A12D0ED"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4</w:t>
            </w:r>
          </w:p>
        </w:tc>
        <w:tc>
          <w:tcPr>
            <w:tcW w:w="4490" w:type="dxa"/>
            <w:shd w:val="clear" w:color="auto" w:fill="auto"/>
            <w:vAlign w:val="center"/>
          </w:tcPr>
          <w:p w14:paraId="6EE606A9" w14:textId="77777777" w:rsidR="006A709D" w:rsidRPr="006A709D" w:rsidRDefault="006A709D" w:rsidP="003647AF">
            <w:pPr>
              <w:spacing w:line="242" w:lineRule="auto"/>
              <w:ind w:right="54" w:firstLine="284"/>
              <w:jc w:val="both"/>
              <w:rPr>
                <w:rFonts w:cs="Calibri"/>
              </w:rPr>
            </w:pPr>
            <w:r w:rsidRPr="006A709D">
              <w:rPr>
                <w:rFonts w:cs="Calibri"/>
              </w:rPr>
              <w:t>O ανάδοχος θα πρέπει να διαθέτει έναν τουλάχιστον υπάλληλο, ο οποίος θα είναι πιστοποιημένος DPO και ISO 27001 Lead Auditor για τη διασφάλιση της διατήρηση των αρχών προστασίας προσωπικών δεδομένων και ασφάλειας πληροφοριακών συστημάτων. Επιπλέον να είναι πιστοποιημένος ISO 27799  Lead Manager για την ασφάλεια των πληροφοριών στον τομέα της υγείας.</w:t>
            </w:r>
          </w:p>
        </w:tc>
        <w:tc>
          <w:tcPr>
            <w:tcW w:w="1116" w:type="dxa"/>
            <w:shd w:val="clear" w:color="auto" w:fill="auto"/>
            <w:vAlign w:val="center"/>
          </w:tcPr>
          <w:p w14:paraId="099A772F"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05DB0E3C"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3FBDC433" w14:textId="77777777" w:rsidR="006A709D" w:rsidRPr="006A709D" w:rsidRDefault="006A709D" w:rsidP="003647AF">
            <w:pPr>
              <w:pStyle w:val="Default"/>
              <w:spacing w:before="120"/>
              <w:jc w:val="center"/>
              <w:rPr>
                <w:b/>
                <w:bCs/>
                <w:color w:val="auto"/>
                <w:sz w:val="22"/>
                <w:szCs w:val="22"/>
              </w:rPr>
            </w:pPr>
          </w:p>
        </w:tc>
      </w:tr>
      <w:tr w:rsidR="006A709D" w:rsidRPr="006A709D" w14:paraId="70F26A95" w14:textId="77777777" w:rsidTr="003647AF">
        <w:tc>
          <w:tcPr>
            <w:tcW w:w="604" w:type="dxa"/>
            <w:shd w:val="clear" w:color="auto" w:fill="auto"/>
            <w:vAlign w:val="center"/>
          </w:tcPr>
          <w:p w14:paraId="5FE7BB51"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5</w:t>
            </w:r>
          </w:p>
        </w:tc>
        <w:tc>
          <w:tcPr>
            <w:tcW w:w="4490" w:type="dxa"/>
            <w:shd w:val="clear" w:color="auto" w:fill="auto"/>
            <w:vAlign w:val="center"/>
          </w:tcPr>
          <w:p w14:paraId="5809F7A7" w14:textId="77777777" w:rsidR="006A709D" w:rsidRPr="006A709D" w:rsidRDefault="006A709D" w:rsidP="003647AF">
            <w:pPr>
              <w:spacing w:line="242" w:lineRule="auto"/>
              <w:ind w:left="-11" w:right="54"/>
              <w:jc w:val="both"/>
              <w:rPr>
                <w:rFonts w:cs="Calibri"/>
              </w:rPr>
            </w:pPr>
            <w:r w:rsidRPr="006A709D">
              <w:rPr>
                <w:rFonts w:cs="Calibri"/>
              </w:rPr>
              <w:t>Ο Υποψήφιος Ανάδοχος απαιτείται (σωρευτικά) να διαθέτει και να καταθέσει εν ισχύ :</w:t>
            </w:r>
          </w:p>
          <w:p w14:paraId="116EAAB8"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t>Πιστοποιητικό διασφάλισης ποιότητας ISO 9001:2015 ή άλλο ισοδύναμο ή ανώτερο που έχει εκδοθεί από επίσημα ινστιτούτα ελέγχου ποιότητας, στα πεδία υλοποίησης ολοκληρωμένων έργων πληροφορικής, τηλεπικοινωνιών, υλικού (HW) και δικτύου.</w:t>
            </w:r>
          </w:p>
          <w:p w14:paraId="5D9821A5"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t>Πιστοποιητικό διασφάλισης ποιότητας για την περιβαλλοντική διαχείριση ISO 14001:2015   ή άλλο ισοδύναμο ή ανώτερο που έχει εκδοθεί από επίσημα ινστιτούτα ελέγχου ποιότητας.</w:t>
            </w:r>
          </w:p>
          <w:p w14:paraId="304F97C0"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t xml:space="preserve">Πιστοποιητικό διασφάλισης ποιότητας για τη διαχείριση της ασφάλειας των πληροφοριών ISO 27001:2013 ή άλλο ισοδύναμο ή ανώτερο που έχει εκδοθεί από επίσημα ινστιτούτα ελέγχου ποιότητας, στα πεδία υλοποίησης ολοκληρωμένων έργων πληροφορικής, τηλεπικοινωνιών, υλικού (HW) και δικτύου. </w:t>
            </w:r>
          </w:p>
          <w:p w14:paraId="787D6E4C"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lastRenderedPageBreak/>
              <w:t>Πιστοποιητικό διασφάλισης ποιότητας για τη διαχείριση  Πληροφοριών απορρήτου ISO 27701:2019 ή άλλο ισοδύναμο ή ανώτερο που έχει εκδοθεί από επίσημα ινστιτούτα ελέγχου ποιότητας</w:t>
            </w:r>
          </w:p>
          <w:p w14:paraId="7EFD59BC"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t>Πιστοποιητικό διασφάλισης αδιάκοπης παροχής υπηρεσιών στους πελάτες της και να έχει αναπτύξει και λειτουργεί Σύστημα Διαχείρισης Επιχειρησιακής Συνέχειας (Business Continuity Management System), το οποίο θα πρέπει να είναι πιστοποιημένο με ISO 22301:2019 ή άλλο ισοδύναμο ή ανώτερο</w:t>
            </w:r>
          </w:p>
          <w:p w14:paraId="58687283" w14:textId="77777777" w:rsidR="006A709D" w:rsidRPr="006A709D" w:rsidRDefault="006A709D" w:rsidP="006A709D">
            <w:pPr>
              <w:pStyle w:val="Tabletext"/>
              <w:numPr>
                <w:ilvl w:val="0"/>
                <w:numId w:val="42"/>
              </w:numPr>
              <w:spacing w:line="360" w:lineRule="auto"/>
              <w:ind w:left="252" w:hanging="284"/>
              <w:jc w:val="both"/>
              <w:rPr>
                <w:rFonts w:ascii="Calibri" w:hAnsi="Calibri" w:cs="Calibri"/>
                <w:sz w:val="22"/>
                <w:szCs w:val="22"/>
                <w:lang w:val="el-GR" w:eastAsia="el-GR"/>
              </w:rPr>
            </w:pPr>
            <w:r w:rsidRPr="006A709D">
              <w:rPr>
                <w:rFonts w:ascii="Calibri" w:hAnsi="Calibri" w:cs="Calibri"/>
                <w:sz w:val="22"/>
                <w:szCs w:val="22"/>
                <w:lang w:val="el-GR" w:eastAsia="el-GR"/>
              </w:rPr>
              <w:t xml:space="preserve">Πιστοποιητικό ISO 20000-1:2018 ή άλλο ισοδύναμο ή ανώτερο για το Σύστημα Υπηρεσιών Διαχείρισης της Τεχνολογίας Πληροφοριών (IT Service Management System),  και να διασφαλίζει ότι εφαρμόζονται οι απαραίτητες μέθοδοι και διαδικασίες για την παροχή αποτελεσματικών υπηρεσιών τεχνολογιών πληροφορικής </w:t>
            </w:r>
          </w:p>
          <w:p w14:paraId="39FDF71D" w14:textId="77777777" w:rsidR="006A709D" w:rsidRPr="006A709D" w:rsidRDefault="006A709D" w:rsidP="003647AF">
            <w:pPr>
              <w:spacing w:line="242" w:lineRule="auto"/>
              <w:ind w:right="54"/>
              <w:rPr>
                <w:rFonts w:cs="Calibri"/>
              </w:rPr>
            </w:pPr>
          </w:p>
        </w:tc>
        <w:tc>
          <w:tcPr>
            <w:tcW w:w="1116" w:type="dxa"/>
            <w:shd w:val="clear" w:color="auto" w:fill="auto"/>
            <w:vAlign w:val="center"/>
          </w:tcPr>
          <w:p w14:paraId="5EFDE01C"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4C8B8470"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1F64969B" w14:textId="77777777" w:rsidR="006A709D" w:rsidRPr="006A709D" w:rsidRDefault="006A709D" w:rsidP="003647AF">
            <w:pPr>
              <w:pStyle w:val="Default"/>
              <w:spacing w:before="120"/>
              <w:jc w:val="center"/>
              <w:rPr>
                <w:b/>
                <w:bCs/>
                <w:color w:val="auto"/>
                <w:sz w:val="22"/>
                <w:szCs w:val="22"/>
              </w:rPr>
            </w:pPr>
          </w:p>
        </w:tc>
      </w:tr>
      <w:tr w:rsidR="006A709D" w:rsidRPr="006A709D" w14:paraId="5746CD3C" w14:textId="77777777" w:rsidTr="003647AF">
        <w:tc>
          <w:tcPr>
            <w:tcW w:w="604" w:type="dxa"/>
            <w:shd w:val="clear" w:color="auto" w:fill="auto"/>
            <w:vAlign w:val="center"/>
          </w:tcPr>
          <w:p w14:paraId="1EEFD1C3"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6</w:t>
            </w:r>
          </w:p>
        </w:tc>
        <w:tc>
          <w:tcPr>
            <w:tcW w:w="4490" w:type="dxa"/>
            <w:shd w:val="clear" w:color="auto" w:fill="auto"/>
            <w:vAlign w:val="center"/>
          </w:tcPr>
          <w:p w14:paraId="714EF496" w14:textId="77777777" w:rsidR="006A709D" w:rsidRPr="006A709D" w:rsidRDefault="006A709D" w:rsidP="003647AF">
            <w:pPr>
              <w:spacing w:line="242" w:lineRule="auto"/>
              <w:ind w:left="-11" w:right="54"/>
              <w:jc w:val="both"/>
              <w:rPr>
                <w:rFonts w:cs="Calibri"/>
              </w:rPr>
            </w:pPr>
            <w:r w:rsidRPr="006A709D">
              <w:rPr>
                <w:rFonts w:cs="Calibri"/>
              </w:rPr>
              <w:t>Ο ανάδοχος θα πρέπει να  διαθέτει τουλάχιστον 5 μηχανικούς ανώτατης πιστοποίησης υποστήριξης δικτύων και υποδομών και τουλάχιστον ένας εξ αυτών nα διαθέτει ανώτατη πιστοποίηση σε θέματα υποδομών Κέντρων Δεδομένων (Data Center).</w:t>
            </w:r>
          </w:p>
          <w:p w14:paraId="7D0A1B05" w14:textId="77777777" w:rsidR="006A709D" w:rsidRPr="006A709D" w:rsidRDefault="006A709D" w:rsidP="003647AF">
            <w:pPr>
              <w:pStyle w:val="Tabletext"/>
              <w:spacing w:line="276" w:lineRule="auto"/>
              <w:ind w:left="-32"/>
              <w:jc w:val="both"/>
              <w:rPr>
                <w:rFonts w:ascii="Calibri" w:eastAsia="Calibri" w:hAnsi="Calibri" w:cs="Calibri"/>
                <w:kern w:val="2"/>
                <w:sz w:val="22"/>
                <w:szCs w:val="22"/>
                <w:lang w:val="el-GR" w:bidi="ar-SA"/>
              </w:rPr>
            </w:pPr>
            <w:r w:rsidRPr="006A709D">
              <w:rPr>
                <w:rFonts w:ascii="Calibri" w:eastAsia="Calibri" w:hAnsi="Calibri" w:cs="Calibri"/>
                <w:kern w:val="2"/>
                <w:sz w:val="22"/>
                <w:szCs w:val="22"/>
                <w:lang w:val="el-GR" w:bidi="ar-SA"/>
              </w:rPr>
              <w:t>Οι πιστοποιήσεις των μηχανικών που θα υποβληθούν θα πρέπει να είναι από αρμόδιους οργανισμούς πιστοποίησης ή από αναγνωρισμένους διεθνείς κατασκευαστικούς οίκους.</w:t>
            </w:r>
          </w:p>
        </w:tc>
        <w:tc>
          <w:tcPr>
            <w:tcW w:w="1116" w:type="dxa"/>
            <w:shd w:val="clear" w:color="auto" w:fill="auto"/>
            <w:vAlign w:val="center"/>
          </w:tcPr>
          <w:p w14:paraId="07BB8AD4"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ΝΑΙ</w:t>
            </w:r>
          </w:p>
        </w:tc>
        <w:tc>
          <w:tcPr>
            <w:tcW w:w="1156" w:type="dxa"/>
            <w:shd w:val="clear" w:color="auto" w:fill="auto"/>
            <w:vAlign w:val="center"/>
          </w:tcPr>
          <w:p w14:paraId="40C98BCE"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0F053ECC" w14:textId="77777777" w:rsidR="006A709D" w:rsidRPr="006A709D" w:rsidRDefault="006A709D" w:rsidP="003647AF">
            <w:pPr>
              <w:pStyle w:val="Default"/>
              <w:spacing w:before="120"/>
              <w:jc w:val="center"/>
              <w:rPr>
                <w:b/>
                <w:bCs/>
                <w:color w:val="auto"/>
                <w:sz w:val="22"/>
                <w:szCs w:val="22"/>
              </w:rPr>
            </w:pPr>
          </w:p>
        </w:tc>
      </w:tr>
      <w:tr w:rsidR="006A709D" w:rsidRPr="006A709D" w14:paraId="58D2B195" w14:textId="77777777" w:rsidTr="003647AF">
        <w:tc>
          <w:tcPr>
            <w:tcW w:w="604" w:type="dxa"/>
            <w:shd w:val="clear" w:color="auto" w:fill="auto"/>
            <w:vAlign w:val="center"/>
          </w:tcPr>
          <w:p w14:paraId="523C4851"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t>7</w:t>
            </w:r>
          </w:p>
        </w:tc>
        <w:tc>
          <w:tcPr>
            <w:tcW w:w="4490" w:type="dxa"/>
            <w:shd w:val="clear" w:color="auto" w:fill="auto"/>
            <w:vAlign w:val="center"/>
          </w:tcPr>
          <w:p w14:paraId="6DAF3D3D" w14:textId="77777777" w:rsidR="006A709D" w:rsidRPr="006A709D" w:rsidRDefault="006A709D" w:rsidP="003647AF">
            <w:pPr>
              <w:spacing w:line="242" w:lineRule="auto"/>
              <w:ind w:left="-11" w:right="54"/>
              <w:jc w:val="both"/>
              <w:rPr>
                <w:rFonts w:cs="Calibri"/>
              </w:rPr>
            </w:pPr>
            <w:r w:rsidRPr="006A709D">
              <w:rPr>
                <w:rFonts w:cs="Calibri"/>
              </w:rPr>
              <w:t xml:space="preserve">Οι μηχανικοί του υποψηφίου που θα αναλάβουν να επιβλέπουν τις υποδομές του Νοσοκομείου θα πρέπει να διαθέτουν </w:t>
            </w:r>
            <w:r w:rsidRPr="006A709D">
              <w:rPr>
                <w:rFonts w:cs="Calibri"/>
              </w:rPr>
              <w:lastRenderedPageBreak/>
              <w:t>σωρευτικά τις κάτωθι πιστοποιήσεις:</w:t>
            </w:r>
          </w:p>
          <w:p w14:paraId="76CD49FD" w14:textId="77777777" w:rsidR="006A709D" w:rsidRPr="006A709D" w:rsidRDefault="006A709D" w:rsidP="006A709D">
            <w:pPr>
              <w:numPr>
                <w:ilvl w:val="0"/>
                <w:numId w:val="44"/>
              </w:numPr>
              <w:suppressAutoHyphens w:val="0"/>
              <w:spacing w:line="242" w:lineRule="auto"/>
              <w:ind w:left="394" w:right="54"/>
              <w:jc w:val="both"/>
              <w:rPr>
                <w:rFonts w:cs="Calibri"/>
                <w:bCs/>
                <w:lang w:val="en-US"/>
              </w:rPr>
            </w:pPr>
            <w:r w:rsidRPr="006A709D">
              <w:rPr>
                <w:rFonts w:cs="Calibri"/>
                <w:bCs/>
                <w:lang w:val="en-US"/>
              </w:rPr>
              <w:t xml:space="preserve">VMware Certified Professional - Data Center Virtualization </w:t>
            </w:r>
            <w:r w:rsidRPr="006A709D">
              <w:rPr>
                <w:rFonts w:cs="Calibri"/>
                <w:bCs/>
              </w:rPr>
              <w:t>ή</w:t>
            </w:r>
            <w:r w:rsidRPr="006A709D">
              <w:rPr>
                <w:rFonts w:cs="Calibri"/>
                <w:bCs/>
                <w:lang w:val="en-US"/>
              </w:rPr>
              <w:t xml:space="preserve"> </w:t>
            </w:r>
            <w:r w:rsidRPr="006A709D">
              <w:rPr>
                <w:rFonts w:cs="Calibri"/>
                <w:bCs/>
              </w:rPr>
              <w:t>ανώτερη</w:t>
            </w:r>
            <w:r w:rsidRPr="006A709D">
              <w:rPr>
                <w:rFonts w:cs="Calibri"/>
                <w:bCs/>
                <w:lang w:val="en-US"/>
              </w:rPr>
              <w:t xml:space="preserve"> </w:t>
            </w:r>
            <w:r w:rsidRPr="006A709D">
              <w:rPr>
                <w:rFonts w:cs="Calibri"/>
                <w:bCs/>
              </w:rPr>
              <w:t>ή</w:t>
            </w:r>
            <w:r w:rsidRPr="006A709D">
              <w:rPr>
                <w:rFonts w:cs="Calibri"/>
                <w:bCs/>
                <w:lang w:val="en-US"/>
              </w:rPr>
              <w:t xml:space="preserve"> </w:t>
            </w:r>
            <w:r w:rsidRPr="006A709D">
              <w:rPr>
                <w:rFonts w:cs="Calibri"/>
                <w:bCs/>
              </w:rPr>
              <w:t>ισοδύναμη</w:t>
            </w:r>
            <w:r w:rsidRPr="006A709D">
              <w:rPr>
                <w:rFonts w:cs="Calibri"/>
                <w:bCs/>
                <w:lang w:val="en-US"/>
              </w:rPr>
              <w:t>.</w:t>
            </w:r>
          </w:p>
          <w:p w14:paraId="3C9C606D" w14:textId="77777777" w:rsidR="006A709D" w:rsidRPr="006A709D" w:rsidRDefault="006A709D" w:rsidP="006A709D">
            <w:pPr>
              <w:numPr>
                <w:ilvl w:val="0"/>
                <w:numId w:val="44"/>
              </w:numPr>
              <w:suppressAutoHyphens w:val="0"/>
              <w:spacing w:line="242" w:lineRule="auto"/>
              <w:ind w:left="394" w:right="54"/>
              <w:jc w:val="both"/>
              <w:rPr>
                <w:rFonts w:cs="Calibri"/>
                <w:bCs/>
              </w:rPr>
            </w:pPr>
            <w:r w:rsidRPr="006A709D">
              <w:rPr>
                <w:rFonts w:cs="Calibri"/>
                <w:bCs/>
              </w:rPr>
              <w:t>Data Center Implementation σε επίπεδο Expert ή ανώτερη ή ισοδύναμη</w:t>
            </w:r>
          </w:p>
          <w:p w14:paraId="562C16A1" w14:textId="77777777" w:rsidR="006A709D" w:rsidRPr="006A709D" w:rsidRDefault="006A709D" w:rsidP="006A709D">
            <w:pPr>
              <w:numPr>
                <w:ilvl w:val="0"/>
                <w:numId w:val="44"/>
              </w:numPr>
              <w:suppressAutoHyphens w:val="0"/>
              <w:spacing w:line="242" w:lineRule="auto"/>
              <w:ind w:left="394" w:right="54"/>
              <w:jc w:val="both"/>
              <w:rPr>
                <w:rFonts w:cs="Calibri"/>
                <w:bCs/>
              </w:rPr>
            </w:pPr>
            <w:r w:rsidRPr="006A709D">
              <w:rPr>
                <w:rFonts w:cs="Calibri"/>
                <w:bCs/>
              </w:rPr>
              <w:t>Enterprise υποδομών σε επίπεδο Expert ή ανώτερη ή ισοδύναμη</w:t>
            </w:r>
          </w:p>
          <w:p w14:paraId="746D00F1" w14:textId="77777777" w:rsidR="006A709D" w:rsidRPr="006A709D" w:rsidRDefault="006A709D" w:rsidP="006A709D">
            <w:pPr>
              <w:numPr>
                <w:ilvl w:val="0"/>
                <w:numId w:val="44"/>
              </w:numPr>
              <w:suppressAutoHyphens w:val="0"/>
              <w:spacing w:line="242" w:lineRule="auto"/>
              <w:ind w:left="394" w:right="54"/>
              <w:jc w:val="both"/>
              <w:rPr>
                <w:rFonts w:cs="Calibri"/>
                <w:bCs/>
              </w:rPr>
            </w:pPr>
            <w:r w:rsidRPr="006A709D">
              <w:rPr>
                <w:rFonts w:cs="Calibri"/>
                <w:bCs/>
              </w:rPr>
              <w:t>Δρομολόγησης &amp; μεταγωγής δεδομένων σε επίπεδο Expert ή ανώτερη ή ισοδύναμη</w:t>
            </w:r>
          </w:p>
          <w:p w14:paraId="14CA1151" w14:textId="77777777" w:rsidR="006A709D" w:rsidRPr="006A709D" w:rsidRDefault="006A709D" w:rsidP="006A709D">
            <w:pPr>
              <w:numPr>
                <w:ilvl w:val="0"/>
                <w:numId w:val="44"/>
              </w:numPr>
              <w:suppressAutoHyphens w:val="0"/>
              <w:spacing w:line="242" w:lineRule="auto"/>
              <w:ind w:left="394" w:right="54"/>
              <w:jc w:val="both"/>
              <w:rPr>
                <w:rFonts w:cs="Calibri"/>
                <w:bCs/>
              </w:rPr>
            </w:pPr>
            <w:r w:rsidRPr="006A709D">
              <w:rPr>
                <w:rFonts w:cs="Calibri"/>
                <w:bCs/>
              </w:rPr>
              <w:t xml:space="preserve">Ασφάλειας σε επίπεδο Expert ή ανώτερη ή ισοδύναμη </w:t>
            </w:r>
          </w:p>
          <w:p w14:paraId="27071C54" w14:textId="77777777" w:rsidR="006A709D" w:rsidRPr="006A709D" w:rsidRDefault="006A709D" w:rsidP="003647AF">
            <w:pPr>
              <w:spacing w:line="242" w:lineRule="auto"/>
              <w:ind w:right="54"/>
              <w:rPr>
                <w:rFonts w:cs="Calibri"/>
              </w:rPr>
            </w:pPr>
            <w:r w:rsidRPr="006A709D">
              <w:rPr>
                <w:rFonts w:cs="Calibri"/>
                <w:bCs/>
              </w:rPr>
              <w:t>H κάλυψη του όρου των πιστοποιήσεων θα αποδεικνύεται με βεβαίωση ή πιστοποιητικό από διεθνείς κατασκευαστικούς οίκους ή από τον αντιπρόσωπό του στην Ελλάδα ή με προσκόμιση επικυρωμένου πιστοποιητικού.</w:t>
            </w:r>
          </w:p>
        </w:tc>
        <w:tc>
          <w:tcPr>
            <w:tcW w:w="1116" w:type="dxa"/>
            <w:shd w:val="clear" w:color="auto" w:fill="auto"/>
            <w:vAlign w:val="center"/>
          </w:tcPr>
          <w:p w14:paraId="56D69C6E" w14:textId="77777777" w:rsidR="006A709D" w:rsidRPr="006A709D" w:rsidRDefault="006A709D" w:rsidP="003647AF">
            <w:pPr>
              <w:pStyle w:val="Default"/>
              <w:spacing w:before="120"/>
              <w:jc w:val="center"/>
              <w:rPr>
                <w:b/>
                <w:bCs/>
                <w:color w:val="auto"/>
                <w:sz w:val="22"/>
                <w:szCs w:val="22"/>
              </w:rPr>
            </w:pPr>
            <w:r w:rsidRPr="006A709D">
              <w:rPr>
                <w:b/>
                <w:bCs/>
                <w:color w:val="auto"/>
                <w:sz w:val="22"/>
                <w:szCs w:val="22"/>
              </w:rPr>
              <w:lastRenderedPageBreak/>
              <w:t>ΝΑΙ</w:t>
            </w:r>
          </w:p>
        </w:tc>
        <w:tc>
          <w:tcPr>
            <w:tcW w:w="1156" w:type="dxa"/>
            <w:shd w:val="clear" w:color="auto" w:fill="auto"/>
            <w:vAlign w:val="center"/>
          </w:tcPr>
          <w:p w14:paraId="023C009B" w14:textId="77777777" w:rsidR="006A709D" w:rsidRPr="006A709D" w:rsidRDefault="006A709D" w:rsidP="003647AF">
            <w:pPr>
              <w:pStyle w:val="Default"/>
              <w:spacing w:before="120"/>
              <w:jc w:val="center"/>
              <w:rPr>
                <w:b/>
                <w:bCs/>
                <w:color w:val="auto"/>
                <w:sz w:val="22"/>
                <w:szCs w:val="22"/>
              </w:rPr>
            </w:pPr>
          </w:p>
        </w:tc>
        <w:tc>
          <w:tcPr>
            <w:tcW w:w="1418" w:type="dxa"/>
            <w:shd w:val="clear" w:color="auto" w:fill="auto"/>
            <w:vAlign w:val="center"/>
          </w:tcPr>
          <w:p w14:paraId="52EFE936" w14:textId="77777777" w:rsidR="006A709D" w:rsidRPr="006A709D" w:rsidRDefault="006A709D" w:rsidP="003647AF">
            <w:pPr>
              <w:pStyle w:val="Default"/>
              <w:spacing w:before="120"/>
              <w:jc w:val="center"/>
              <w:rPr>
                <w:b/>
                <w:bCs/>
                <w:color w:val="auto"/>
                <w:sz w:val="22"/>
                <w:szCs w:val="22"/>
              </w:rPr>
            </w:pPr>
          </w:p>
        </w:tc>
      </w:tr>
    </w:tbl>
    <w:p w14:paraId="25F3805D" w14:textId="77777777" w:rsidR="006A709D" w:rsidRPr="006A709D" w:rsidRDefault="006A709D" w:rsidP="006A709D"/>
    <w:p w14:paraId="191117F8" w14:textId="77777777" w:rsidR="006A709D" w:rsidRDefault="006A709D" w:rsidP="006A709D">
      <w:pPr>
        <w:rPr>
          <w:rFonts w:cstheme="minorHAnsi"/>
          <w:sz w:val="28"/>
          <w:szCs w:val="28"/>
        </w:rPr>
      </w:pPr>
      <w:r>
        <w:rPr>
          <w:rFonts w:cstheme="minorHAnsi"/>
          <w:sz w:val="28"/>
          <w:szCs w:val="28"/>
        </w:rPr>
        <w:t xml:space="preserve">                                                                </w:t>
      </w:r>
    </w:p>
    <w:p w14:paraId="75A7DD7D" w14:textId="35D440D7" w:rsidR="006A709D" w:rsidRPr="006A709D" w:rsidRDefault="006A709D" w:rsidP="006A709D">
      <w:pPr>
        <w:rPr>
          <w:rFonts w:cstheme="minorHAnsi"/>
          <w:b/>
          <w:bCs/>
          <w:sz w:val="28"/>
          <w:szCs w:val="28"/>
        </w:rPr>
      </w:pPr>
      <w:r>
        <w:rPr>
          <w:rFonts w:cstheme="minorHAnsi"/>
          <w:sz w:val="28"/>
          <w:szCs w:val="28"/>
        </w:rPr>
        <w:t xml:space="preserve">             </w:t>
      </w:r>
      <w:r w:rsidRPr="006A709D">
        <w:rPr>
          <w:rFonts w:cstheme="minorHAnsi"/>
          <w:b/>
          <w:bCs/>
          <w:sz w:val="28"/>
          <w:szCs w:val="28"/>
        </w:rPr>
        <w:t>Η ΕΠΙΤΡΟΠΗ</w:t>
      </w:r>
    </w:p>
    <w:p w14:paraId="398D8827" w14:textId="77777777" w:rsidR="006A709D" w:rsidRDefault="006A709D" w:rsidP="006A709D">
      <w:pPr>
        <w:pStyle w:val="ad"/>
        <w:numPr>
          <w:ilvl w:val="1"/>
          <w:numId w:val="1"/>
        </w:numPr>
        <w:rPr>
          <w:rFonts w:cstheme="minorHAnsi"/>
          <w:sz w:val="28"/>
          <w:szCs w:val="28"/>
        </w:rPr>
      </w:pPr>
      <w:r w:rsidRPr="006A709D">
        <w:rPr>
          <w:rFonts w:cstheme="minorHAnsi"/>
          <w:sz w:val="28"/>
          <w:szCs w:val="28"/>
        </w:rPr>
        <w:t>ΚΟΝΤΟΓΕΩΡΓΗΣ ΑΠΟΣΤΟΛΟΣ</w:t>
      </w:r>
    </w:p>
    <w:p w14:paraId="5B6FC00C" w14:textId="77777777" w:rsidR="006A709D" w:rsidRDefault="006A709D" w:rsidP="006A709D">
      <w:pPr>
        <w:pStyle w:val="ad"/>
        <w:ind w:left="1080"/>
        <w:rPr>
          <w:rFonts w:cstheme="minorHAnsi"/>
          <w:sz w:val="28"/>
          <w:szCs w:val="28"/>
        </w:rPr>
      </w:pPr>
    </w:p>
    <w:p w14:paraId="372A10EA" w14:textId="77777777" w:rsidR="006A709D" w:rsidRPr="006A709D" w:rsidRDefault="006A709D" w:rsidP="00BC4D16">
      <w:pPr>
        <w:pStyle w:val="ad"/>
        <w:numPr>
          <w:ilvl w:val="1"/>
          <w:numId w:val="1"/>
        </w:numPr>
        <w:rPr>
          <w:rFonts w:ascii="Calibri" w:hAnsi="Calibri" w:cstheme="minorHAnsi"/>
          <w:b/>
          <w:bCs/>
          <w:sz w:val="28"/>
          <w:szCs w:val="28"/>
          <w:u w:val="single"/>
        </w:rPr>
      </w:pPr>
      <w:r w:rsidRPr="006A709D">
        <w:rPr>
          <w:rFonts w:cstheme="minorHAnsi"/>
          <w:sz w:val="28"/>
          <w:szCs w:val="28"/>
        </w:rPr>
        <w:t>ΝΑΚΟΣ ΔΟΥΚΑΣ</w:t>
      </w:r>
    </w:p>
    <w:p w14:paraId="63D7A783" w14:textId="77777777" w:rsidR="006A709D" w:rsidRPr="006A709D" w:rsidRDefault="006A709D" w:rsidP="006A709D">
      <w:pPr>
        <w:pStyle w:val="ad"/>
        <w:rPr>
          <w:rFonts w:cstheme="minorHAnsi"/>
          <w:sz w:val="28"/>
          <w:szCs w:val="28"/>
        </w:rPr>
      </w:pPr>
    </w:p>
    <w:p w14:paraId="09904475" w14:textId="61D710DD" w:rsidR="006A709D" w:rsidRPr="006A709D" w:rsidRDefault="006A709D" w:rsidP="00BC4D16">
      <w:pPr>
        <w:pStyle w:val="ad"/>
        <w:numPr>
          <w:ilvl w:val="1"/>
          <w:numId w:val="1"/>
        </w:numPr>
        <w:rPr>
          <w:rFonts w:ascii="Calibri" w:hAnsi="Calibri" w:cstheme="minorHAnsi"/>
          <w:b/>
          <w:bCs/>
          <w:sz w:val="28"/>
          <w:szCs w:val="28"/>
          <w:u w:val="single"/>
        </w:rPr>
      </w:pPr>
      <w:r w:rsidRPr="006A709D">
        <w:rPr>
          <w:rFonts w:cstheme="minorHAnsi"/>
          <w:sz w:val="28"/>
          <w:szCs w:val="28"/>
        </w:rPr>
        <w:t>ΚΑΝΟΥΡΑ ΣΕΒΑΣΤΗ</w:t>
      </w:r>
    </w:p>
    <w:p w14:paraId="6D095ED6" w14:textId="7E57409B" w:rsidR="006A709D" w:rsidRPr="006A709D" w:rsidRDefault="006A709D" w:rsidP="006A709D">
      <w:pPr>
        <w:spacing w:line="227" w:lineRule="atLeast"/>
        <w:ind w:left="1418"/>
        <w:jc w:val="both"/>
        <w:rPr>
          <w:rFonts w:cs="Calibri"/>
          <w:bCs/>
        </w:rPr>
      </w:pPr>
      <w:r w:rsidRPr="006A709D">
        <w:rPr>
          <w:rFonts w:ascii="Arial" w:hAnsi="Arial" w:cs="Calibri"/>
          <w:b/>
          <w:sz w:val="20"/>
        </w:rPr>
        <w:tab/>
      </w:r>
      <w:r w:rsidRPr="006A709D">
        <w:rPr>
          <w:rFonts w:ascii="Arial" w:hAnsi="Arial" w:cs="Calibri"/>
          <w:b/>
          <w:sz w:val="20"/>
        </w:rPr>
        <w:tab/>
      </w:r>
      <w:r w:rsidRPr="006A709D">
        <w:rPr>
          <w:rFonts w:ascii="Arial" w:hAnsi="Arial" w:cs="Calibri"/>
          <w:b/>
          <w:sz w:val="20"/>
        </w:rPr>
        <w:tab/>
      </w:r>
      <w:r w:rsidRPr="006A709D">
        <w:rPr>
          <w:rFonts w:ascii="Arial" w:hAnsi="Arial" w:cs="Calibri"/>
          <w:b/>
          <w:sz w:val="20"/>
        </w:rPr>
        <w:tab/>
      </w:r>
    </w:p>
    <w:bookmarkEnd w:id="0"/>
    <w:p w14:paraId="42FAB77D" w14:textId="77777777" w:rsidR="007706EF" w:rsidRPr="006A709D" w:rsidRDefault="007706EF">
      <w:pPr>
        <w:jc w:val="center"/>
        <w:rPr>
          <w:rFonts w:ascii="Calibri" w:hAnsi="Calibri" w:cs="Calibri"/>
        </w:rPr>
      </w:pPr>
    </w:p>
    <w:p w14:paraId="275E1113" w14:textId="77777777" w:rsidR="007706EF" w:rsidRPr="006A709D" w:rsidRDefault="007706EF">
      <w:pPr>
        <w:jc w:val="both"/>
        <w:rPr>
          <w:rFonts w:ascii="Calibri" w:hAnsi="Calibri" w:cs="Calibri"/>
        </w:rPr>
      </w:pPr>
      <w:bookmarkStart w:id="1" w:name="__RefHeading___Toc857861771"/>
      <w:bookmarkStart w:id="2" w:name="_Hlk41545349"/>
      <w:bookmarkStart w:id="3" w:name="__RefHeading___Toc85786177"/>
      <w:bookmarkEnd w:id="1"/>
      <w:bookmarkEnd w:id="2"/>
      <w:bookmarkEnd w:id="3"/>
    </w:p>
    <w:sectPr w:rsidR="007706EF" w:rsidRPr="006A709D" w:rsidSect="006849C9">
      <w:headerReference w:type="default" r:id="rId8"/>
      <w:footerReference w:type="default" r:id="rId9"/>
      <w:pgSz w:w="11906" w:h="16838"/>
      <w:pgMar w:top="680" w:right="1559" w:bottom="680" w:left="1418" w:header="0" w:footer="63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DC74" w14:textId="77777777" w:rsidR="005A02C7" w:rsidRDefault="005A02C7">
      <w:pPr>
        <w:spacing w:after="0" w:line="240" w:lineRule="auto"/>
      </w:pPr>
      <w:r>
        <w:separator/>
      </w:r>
    </w:p>
  </w:endnote>
  <w:endnote w:type="continuationSeparator" w:id="0">
    <w:p w14:paraId="60D98827" w14:textId="77777777" w:rsidR="005A02C7" w:rsidRDefault="005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95254"/>
      <w:docPartObj>
        <w:docPartGallery w:val="Page Numbers (Bottom of Page)"/>
        <w:docPartUnique/>
      </w:docPartObj>
    </w:sdtPr>
    <w:sdtEndPr/>
    <w:sdtContent>
      <w:p w14:paraId="48C5E2CD" w14:textId="77777777" w:rsidR="005A02C7" w:rsidRDefault="002F21A2">
        <w:pPr>
          <w:pStyle w:val="ac"/>
          <w:jc w:val="right"/>
          <w:rPr>
            <w:sz w:val="16"/>
            <w:szCs w:val="16"/>
          </w:rPr>
        </w:pPr>
        <w:r>
          <w:rPr>
            <w:sz w:val="16"/>
            <w:szCs w:val="16"/>
          </w:rPr>
          <w:fldChar w:fldCharType="begin"/>
        </w:r>
        <w:r w:rsidR="005A02C7">
          <w:rPr>
            <w:sz w:val="16"/>
            <w:szCs w:val="16"/>
          </w:rPr>
          <w:instrText>PAGE</w:instrText>
        </w:r>
        <w:r>
          <w:rPr>
            <w:sz w:val="16"/>
            <w:szCs w:val="16"/>
          </w:rPr>
          <w:fldChar w:fldCharType="separate"/>
        </w:r>
        <w:r w:rsidR="00A25631">
          <w:rPr>
            <w:noProof/>
            <w:sz w:val="16"/>
            <w:szCs w:val="16"/>
          </w:rPr>
          <w:t>8</w:t>
        </w:r>
        <w:r>
          <w:rPr>
            <w:sz w:val="16"/>
            <w:szCs w:val="16"/>
          </w:rPr>
          <w:fldChar w:fldCharType="end"/>
        </w:r>
      </w:p>
    </w:sdtContent>
  </w:sdt>
  <w:p w14:paraId="6A9AAF4E" w14:textId="77777777" w:rsidR="005A02C7" w:rsidRDefault="005A02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9403" w14:textId="77777777" w:rsidR="005A02C7" w:rsidRDefault="005A02C7">
      <w:pPr>
        <w:spacing w:after="0" w:line="240" w:lineRule="auto"/>
      </w:pPr>
      <w:r>
        <w:separator/>
      </w:r>
    </w:p>
  </w:footnote>
  <w:footnote w:type="continuationSeparator" w:id="0">
    <w:p w14:paraId="2C5AE032" w14:textId="77777777" w:rsidR="005A02C7" w:rsidRDefault="005A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15" w14:textId="1F07E2D4" w:rsidR="005A02C7" w:rsidRDefault="00A923E9">
    <w:pPr>
      <w:pStyle w:val="a4"/>
      <w:ind w:left="-1418"/>
    </w:pPr>
    <w:r>
      <w:rPr>
        <w:noProof/>
      </w:rPr>
      <mc:AlternateContent>
        <mc:Choice Requires="wps">
          <w:drawing>
            <wp:anchor distT="0" distB="0" distL="0" distR="0" simplePos="0" relativeHeight="251657728" behindDoc="1" locked="0" layoutInCell="0" allowOverlap="1" wp14:anchorId="0BADA147" wp14:editId="1B0EBA25">
              <wp:simplePos x="0" y="0"/>
              <wp:positionH relativeFrom="column">
                <wp:posOffset>0</wp:posOffset>
              </wp:positionH>
              <wp:positionV relativeFrom="paragraph">
                <wp:posOffset>635</wp:posOffset>
              </wp:positionV>
              <wp:extent cx="6184900" cy="1270"/>
              <wp:effectExtent l="0" t="0" r="6350" b="17780"/>
              <wp:wrapNone/>
              <wp:docPr id="5"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900" cy="127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221C4C3" id="Ευθεία γραμμή σύνδεσης 6"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" o:allowincell="f" strokecolor="#bfbfbf [2412]" strokeweight="1pt">
              <v:stroke joinstyle="miter"/>
              <o:lock v:ext="edit" shapetype="f"/>
            </v:line>
          </w:pict>
        </mc:Fallback>
      </mc:AlternateContent>
    </w:r>
    <w:r w:rsidR="005A02C7">
      <w:rPr>
        <w:noProof/>
        <w:lang w:eastAsia="el-GR"/>
      </w:rPr>
      <w:drawing>
        <wp:inline distT="0" distB="0" distL="0" distR="0" wp14:anchorId="1F10D2C6" wp14:editId="6372AF53">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845724"/>
    <w:multiLevelType w:val="hybridMultilevel"/>
    <w:tmpl w:val="AD588688"/>
    <w:lvl w:ilvl="0" w:tplc="2F5AFCE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5A067FE"/>
    <w:multiLevelType w:val="hybridMultilevel"/>
    <w:tmpl w:val="950EB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5E54AE3"/>
    <w:multiLevelType w:val="hybridMultilevel"/>
    <w:tmpl w:val="6556F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0" w15:restartNumberingAfterBreak="0">
    <w:nsid w:val="08D46C59"/>
    <w:multiLevelType w:val="hybridMultilevel"/>
    <w:tmpl w:val="D14E354A"/>
    <w:lvl w:ilvl="0" w:tplc="0408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D3015A6"/>
    <w:multiLevelType w:val="hybridMultilevel"/>
    <w:tmpl w:val="FE5E09A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3" w15:restartNumberingAfterBreak="0">
    <w:nsid w:val="0F475935"/>
    <w:multiLevelType w:val="hybridMultilevel"/>
    <w:tmpl w:val="40905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07C0A3D"/>
    <w:multiLevelType w:val="hybridMultilevel"/>
    <w:tmpl w:val="6ED8ABD8"/>
    <w:lvl w:ilvl="0" w:tplc="FC12C878">
      <w:start w:val="1"/>
      <w:numFmt w:val="decimal"/>
      <w:lvlText w:val="%1."/>
      <w:lvlJc w:val="left"/>
      <w:pPr>
        <w:ind w:left="720" w:hanging="360"/>
      </w:pPr>
      <w:rPr>
        <w:rFonts w:ascii="Calibri" w:eastAsia="Times New Roman" w:hAnsi="Calibri"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154013E"/>
    <w:multiLevelType w:val="hybridMultilevel"/>
    <w:tmpl w:val="B9FE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32411D4"/>
    <w:multiLevelType w:val="hybridMultilevel"/>
    <w:tmpl w:val="330A6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5017A8B"/>
    <w:multiLevelType w:val="hybridMultilevel"/>
    <w:tmpl w:val="D0CA8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B4429AA"/>
    <w:multiLevelType w:val="hybridMultilevel"/>
    <w:tmpl w:val="52061F0C"/>
    <w:lvl w:ilvl="0" w:tplc="209A261C">
      <w:start w:val="1"/>
      <w:numFmt w:val="bullet"/>
      <w:lvlText w:val="-"/>
      <w:lvlJc w:val="left"/>
      <w:pPr>
        <w:ind w:left="1193" w:hanging="360"/>
      </w:pPr>
      <w:rPr>
        <w:rFonts w:ascii="Tahoma" w:hAnsi="Tahoma" w:cs="Times New Roman" w:hint="default"/>
      </w:rPr>
    </w:lvl>
    <w:lvl w:ilvl="1" w:tplc="04080003">
      <w:start w:val="1"/>
      <w:numFmt w:val="bullet"/>
      <w:lvlText w:val="o"/>
      <w:lvlJc w:val="left"/>
      <w:pPr>
        <w:ind w:left="1913" w:hanging="360"/>
      </w:pPr>
      <w:rPr>
        <w:rFonts w:ascii="Courier New" w:hAnsi="Courier New" w:cs="Courier New" w:hint="default"/>
      </w:rPr>
    </w:lvl>
    <w:lvl w:ilvl="2" w:tplc="04080005">
      <w:start w:val="1"/>
      <w:numFmt w:val="bullet"/>
      <w:lvlText w:val=""/>
      <w:lvlJc w:val="left"/>
      <w:pPr>
        <w:ind w:left="2633" w:hanging="360"/>
      </w:pPr>
      <w:rPr>
        <w:rFonts w:ascii="Wingdings" w:hAnsi="Wingdings" w:hint="default"/>
      </w:rPr>
    </w:lvl>
    <w:lvl w:ilvl="3" w:tplc="04080001">
      <w:start w:val="1"/>
      <w:numFmt w:val="bullet"/>
      <w:lvlText w:val=""/>
      <w:lvlJc w:val="left"/>
      <w:pPr>
        <w:ind w:left="3353" w:hanging="360"/>
      </w:pPr>
      <w:rPr>
        <w:rFonts w:ascii="Symbol" w:hAnsi="Symbol" w:hint="default"/>
      </w:rPr>
    </w:lvl>
    <w:lvl w:ilvl="4" w:tplc="04080003">
      <w:start w:val="1"/>
      <w:numFmt w:val="bullet"/>
      <w:lvlText w:val="o"/>
      <w:lvlJc w:val="left"/>
      <w:pPr>
        <w:ind w:left="4073" w:hanging="360"/>
      </w:pPr>
      <w:rPr>
        <w:rFonts w:ascii="Courier New" w:hAnsi="Courier New" w:cs="Courier New" w:hint="default"/>
      </w:rPr>
    </w:lvl>
    <w:lvl w:ilvl="5" w:tplc="04080005">
      <w:start w:val="1"/>
      <w:numFmt w:val="bullet"/>
      <w:lvlText w:val=""/>
      <w:lvlJc w:val="left"/>
      <w:pPr>
        <w:ind w:left="4793" w:hanging="360"/>
      </w:pPr>
      <w:rPr>
        <w:rFonts w:ascii="Wingdings" w:hAnsi="Wingdings" w:hint="default"/>
      </w:rPr>
    </w:lvl>
    <w:lvl w:ilvl="6" w:tplc="04080001">
      <w:start w:val="1"/>
      <w:numFmt w:val="bullet"/>
      <w:lvlText w:val=""/>
      <w:lvlJc w:val="left"/>
      <w:pPr>
        <w:ind w:left="5513" w:hanging="360"/>
      </w:pPr>
      <w:rPr>
        <w:rFonts w:ascii="Symbol" w:hAnsi="Symbol" w:hint="default"/>
      </w:rPr>
    </w:lvl>
    <w:lvl w:ilvl="7" w:tplc="04080003">
      <w:start w:val="1"/>
      <w:numFmt w:val="bullet"/>
      <w:lvlText w:val="o"/>
      <w:lvlJc w:val="left"/>
      <w:pPr>
        <w:ind w:left="6233" w:hanging="360"/>
      </w:pPr>
      <w:rPr>
        <w:rFonts w:ascii="Courier New" w:hAnsi="Courier New" w:cs="Courier New" w:hint="default"/>
      </w:rPr>
    </w:lvl>
    <w:lvl w:ilvl="8" w:tplc="04080005">
      <w:start w:val="1"/>
      <w:numFmt w:val="bullet"/>
      <w:lvlText w:val=""/>
      <w:lvlJc w:val="left"/>
      <w:pPr>
        <w:ind w:left="6953" w:hanging="360"/>
      </w:pPr>
      <w:rPr>
        <w:rFonts w:ascii="Wingdings" w:hAnsi="Wingdings" w:hint="default"/>
      </w:rPr>
    </w:lvl>
  </w:abstractNum>
  <w:abstractNum w:abstractNumId="21" w15:restartNumberingAfterBreak="0">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22" w15:restartNumberingAfterBreak="0">
    <w:nsid w:val="1D4769D2"/>
    <w:multiLevelType w:val="hybridMultilevel"/>
    <w:tmpl w:val="B306A2DC"/>
    <w:lvl w:ilvl="0" w:tplc="5CF23002">
      <w:start w:val="1"/>
      <w:numFmt w:val="bullet"/>
      <w:lvlText w:val="-"/>
      <w:lvlJc w:val="left"/>
      <w:pPr>
        <w:tabs>
          <w:tab w:val="num" w:pos="1260"/>
        </w:tabs>
        <w:ind w:left="1260"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5224838"/>
    <w:multiLevelType w:val="multilevel"/>
    <w:tmpl w:val="A06A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3FC7FCE"/>
    <w:multiLevelType w:val="hybridMultilevel"/>
    <w:tmpl w:val="9752A24C"/>
    <w:lvl w:ilvl="0" w:tplc="CE18FB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7C7150D"/>
    <w:multiLevelType w:val="hybridMultilevel"/>
    <w:tmpl w:val="7300528C"/>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29" w15:restartNumberingAfterBreak="0">
    <w:nsid w:val="38595C00"/>
    <w:multiLevelType w:val="hybridMultilevel"/>
    <w:tmpl w:val="8370F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DA5275B"/>
    <w:multiLevelType w:val="multilevel"/>
    <w:tmpl w:val="14404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E2C5C11"/>
    <w:multiLevelType w:val="hybridMultilevel"/>
    <w:tmpl w:val="9CCA6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F0848F9"/>
    <w:multiLevelType w:val="hybridMultilevel"/>
    <w:tmpl w:val="07CA3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11C14B4"/>
    <w:multiLevelType w:val="hybridMultilevel"/>
    <w:tmpl w:val="CFB4C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B152511"/>
    <w:multiLevelType w:val="multilevel"/>
    <w:tmpl w:val="70165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EA6079F"/>
    <w:multiLevelType w:val="multilevel"/>
    <w:tmpl w:val="205E2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0E818E5"/>
    <w:multiLevelType w:val="multilevel"/>
    <w:tmpl w:val="972AB2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8" w15:restartNumberingAfterBreak="0">
    <w:nsid w:val="57BA3A89"/>
    <w:multiLevelType w:val="hybridMultilevel"/>
    <w:tmpl w:val="AEBE2A5E"/>
    <w:lvl w:ilvl="0" w:tplc="0408000F">
      <w:start w:val="1"/>
      <w:numFmt w:val="decimal"/>
      <w:lvlText w:val="%1."/>
      <w:lvlJc w:val="left"/>
      <w:pPr>
        <w:ind w:left="417" w:hanging="360"/>
      </w:p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39" w15:restartNumberingAfterBreak="0">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C7B345B"/>
    <w:multiLevelType w:val="hybridMultilevel"/>
    <w:tmpl w:val="944234E0"/>
    <w:lvl w:ilvl="0" w:tplc="BBD67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20D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82C7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128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4FB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18C8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CF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07E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187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3" w15:restartNumberingAfterBreak="0">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DAD31B2"/>
    <w:multiLevelType w:val="hybridMultilevel"/>
    <w:tmpl w:val="4ED21E32"/>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num w:numId="1" w16cid:durableId="735324459">
    <w:abstractNumId w:val="25"/>
  </w:num>
  <w:num w:numId="2" w16cid:durableId="342440425">
    <w:abstractNumId w:val="7"/>
  </w:num>
  <w:num w:numId="3" w16cid:durableId="1126243372">
    <w:abstractNumId w:val="42"/>
  </w:num>
  <w:num w:numId="4" w16cid:durableId="604726818">
    <w:abstractNumId w:val="23"/>
  </w:num>
  <w:num w:numId="5" w16cid:durableId="1010063183">
    <w:abstractNumId w:val="15"/>
  </w:num>
  <w:num w:numId="6" w16cid:durableId="26149808">
    <w:abstractNumId w:val="27"/>
  </w:num>
  <w:num w:numId="7" w16cid:durableId="1331711360">
    <w:abstractNumId w:val="11"/>
  </w:num>
  <w:num w:numId="8" w16cid:durableId="835344189">
    <w:abstractNumId w:val="43"/>
  </w:num>
  <w:num w:numId="9" w16cid:durableId="424956193">
    <w:abstractNumId w:val="4"/>
  </w:num>
  <w:num w:numId="10" w16cid:durableId="1183862110">
    <w:abstractNumId w:val="8"/>
  </w:num>
  <w:num w:numId="11" w16cid:durableId="99952313">
    <w:abstractNumId w:val="1"/>
  </w:num>
  <w:num w:numId="12" w16cid:durableId="1890916710">
    <w:abstractNumId w:val="2"/>
  </w:num>
  <w:num w:numId="13" w16cid:durableId="1390885007">
    <w:abstractNumId w:val="0"/>
  </w:num>
  <w:num w:numId="14" w16cid:durableId="886334576">
    <w:abstractNumId w:val="1"/>
  </w:num>
  <w:num w:numId="15" w16cid:durableId="2078819305">
    <w:abstractNumId w:val="21"/>
  </w:num>
  <w:num w:numId="16" w16cid:durableId="1107772588">
    <w:abstractNumId w:val="9"/>
  </w:num>
  <w:num w:numId="17" w16cid:durableId="142624603">
    <w:abstractNumId w:val="16"/>
  </w:num>
  <w:num w:numId="18" w16cid:durableId="2074741647">
    <w:abstractNumId w:val="30"/>
  </w:num>
  <w:num w:numId="19" w16cid:durableId="709962049">
    <w:abstractNumId w:val="39"/>
  </w:num>
  <w:num w:numId="20" w16cid:durableId="1782720498">
    <w:abstractNumId w:val="41"/>
  </w:num>
  <w:num w:numId="21" w16cid:durableId="472715450">
    <w:abstractNumId w:val="37"/>
  </w:num>
  <w:num w:numId="22" w16cid:durableId="1683242242">
    <w:abstractNumId w:val="35"/>
  </w:num>
  <w:num w:numId="23" w16cid:durableId="1948076091">
    <w:abstractNumId w:val="36"/>
  </w:num>
  <w:num w:numId="24" w16cid:durableId="568156880">
    <w:abstractNumId w:val="24"/>
  </w:num>
  <w:num w:numId="25" w16cid:durableId="913589926">
    <w:abstractNumId w:val="31"/>
  </w:num>
  <w:num w:numId="26" w16cid:durableId="1907837755">
    <w:abstractNumId w:val="6"/>
  </w:num>
  <w:num w:numId="27" w16cid:durableId="1448311684">
    <w:abstractNumId w:val="12"/>
  </w:num>
  <w:num w:numId="28" w16cid:durableId="459879750">
    <w:abstractNumId w:val="18"/>
  </w:num>
  <w:num w:numId="29" w16cid:durableId="1873761457">
    <w:abstractNumId w:val="33"/>
  </w:num>
  <w:num w:numId="30" w16cid:durableId="2070767451">
    <w:abstractNumId w:val="44"/>
  </w:num>
  <w:num w:numId="31" w16cid:durableId="1636721015">
    <w:abstractNumId w:val="32"/>
  </w:num>
  <w:num w:numId="32" w16cid:durableId="118500165">
    <w:abstractNumId w:val="28"/>
  </w:num>
  <w:num w:numId="33" w16cid:durableId="827137403">
    <w:abstractNumId w:val="38"/>
  </w:num>
  <w:num w:numId="34" w16cid:durableId="146476374">
    <w:abstractNumId w:val="29"/>
  </w:num>
  <w:num w:numId="35" w16cid:durableId="314573970">
    <w:abstractNumId w:val="40"/>
  </w:num>
  <w:num w:numId="36" w16cid:durableId="1442069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7841625">
    <w:abstractNumId w:val="13"/>
  </w:num>
  <w:num w:numId="38" w16cid:durableId="100221640">
    <w:abstractNumId w:val="19"/>
  </w:num>
  <w:num w:numId="39" w16cid:durableId="156582714">
    <w:abstractNumId w:val="17"/>
  </w:num>
  <w:num w:numId="40" w16cid:durableId="827134349">
    <w:abstractNumId w:val="22"/>
  </w:num>
  <w:num w:numId="41" w16cid:durableId="1878739937">
    <w:abstractNumId w:val="34"/>
  </w:num>
  <w:num w:numId="42" w16cid:durableId="866452975">
    <w:abstractNumId w:val="20"/>
  </w:num>
  <w:num w:numId="43" w16cid:durableId="1358776227">
    <w:abstractNumId w:val="3"/>
  </w:num>
  <w:num w:numId="44" w16cid:durableId="1253052802">
    <w:abstractNumId w:val="26"/>
  </w:num>
  <w:num w:numId="45" w16cid:durableId="969170903">
    <w:abstractNumId w:val="5"/>
  </w:num>
  <w:num w:numId="46" w16cid:durableId="10262488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F"/>
    <w:rsid w:val="00003EEC"/>
    <w:rsid w:val="000242C9"/>
    <w:rsid w:val="00031DAB"/>
    <w:rsid w:val="00051E22"/>
    <w:rsid w:val="0007788A"/>
    <w:rsid w:val="000946F3"/>
    <w:rsid w:val="000B09BD"/>
    <w:rsid w:val="000B3458"/>
    <w:rsid w:val="000C1922"/>
    <w:rsid w:val="000D3E27"/>
    <w:rsid w:val="000F2104"/>
    <w:rsid w:val="00140077"/>
    <w:rsid w:val="0015450C"/>
    <w:rsid w:val="00183D08"/>
    <w:rsid w:val="00196EE7"/>
    <w:rsid w:val="001A3DB5"/>
    <w:rsid w:val="001A479E"/>
    <w:rsid w:val="001B4449"/>
    <w:rsid w:val="001D490D"/>
    <w:rsid w:val="001F4EB9"/>
    <w:rsid w:val="00211153"/>
    <w:rsid w:val="00222313"/>
    <w:rsid w:val="0023202C"/>
    <w:rsid w:val="0024216A"/>
    <w:rsid w:val="002423B6"/>
    <w:rsid w:val="00294A81"/>
    <w:rsid w:val="002958C3"/>
    <w:rsid w:val="002A131E"/>
    <w:rsid w:val="002A1BE1"/>
    <w:rsid w:val="002C5260"/>
    <w:rsid w:val="002D5F5F"/>
    <w:rsid w:val="002F182F"/>
    <w:rsid w:val="002F21A2"/>
    <w:rsid w:val="003265BC"/>
    <w:rsid w:val="00327E02"/>
    <w:rsid w:val="00381F40"/>
    <w:rsid w:val="00382D1A"/>
    <w:rsid w:val="003840EF"/>
    <w:rsid w:val="003870C4"/>
    <w:rsid w:val="00443924"/>
    <w:rsid w:val="004660FF"/>
    <w:rsid w:val="00492137"/>
    <w:rsid w:val="004952C5"/>
    <w:rsid w:val="004B3919"/>
    <w:rsid w:val="004C7668"/>
    <w:rsid w:val="00520456"/>
    <w:rsid w:val="005554F4"/>
    <w:rsid w:val="00557BC0"/>
    <w:rsid w:val="00560EF5"/>
    <w:rsid w:val="00567B44"/>
    <w:rsid w:val="00575823"/>
    <w:rsid w:val="005876B8"/>
    <w:rsid w:val="0059558F"/>
    <w:rsid w:val="005A02C7"/>
    <w:rsid w:val="005A29F1"/>
    <w:rsid w:val="005A622F"/>
    <w:rsid w:val="005B4548"/>
    <w:rsid w:val="005F3B0D"/>
    <w:rsid w:val="00612FDE"/>
    <w:rsid w:val="00626486"/>
    <w:rsid w:val="0063229C"/>
    <w:rsid w:val="00635AEC"/>
    <w:rsid w:val="00637EAA"/>
    <w:rsid w:val="0065056C"/>
    <w:rsid w:val="006745BD"/>
    <w:rsid w:val="006849C9"/>
    <w:rsid w:val="006A59F1"/>
    <w:rsid w:val="006A709D"/>
    <w:rsid w:val="006F648C"/>
    <w:rsid w:val="00710950"/>
    <w:rsid w:val="00713E9C"/>
    <w:rsid w:val="0073609C"/>
    <w:rsid w:val="007401BC"/>
    <w:rsid w:val="00740987"/>
    <w:rsid w:val="007573C0"/>
    <w:rsid w:val="00757A34"/>
    <w:rsid w:val="007706EF"/>
    <w:rsid w:val="00782623"/>
    <w:rsid w:val="00784940"/>
    <w:rsid w:val="00787627"/>
    <w:rsid w:val="007B2F95"/>
    <w:rsid w:val="007D6FDC"/>
    <w:rsid w:val="007D7C72"/>
    <w:rsid w:val="007E2D5A"/>
    <w:rsid w:val="007E3AD2"/>
    <w:rsid w:val="00864105"/>
    <w:rsid w:val="0086797D"/>
    <w:rsid w:val="00867CE0"/>
    <w:rsid w:val="00884DCC"/>
    <w:rsid w:val="00893D74"/>
    <w:rsid w:val="00893F41"/>
    <w:rsid w:val="008A16E4"/>
    <w:rsid w:val="008B3BE1"/>
    <w:rsid w:val="008F6E00"/>
    <w:rsid w:val="00930411"/>
    <w:rsid w:val="0094394F"/>
    <w:rsid w:val="009A6DB4"/>
    <w:rsid w:val="009B029D"/>
    <w:rsid w:val="009C3DC6"/>
    <w:rsid w:val="00A00FE3"/>
    <w:rsid w:val="00A17D1A"/>
    <w:rsid w:val="00A25631"/>
    <w:rsid w:val="00A32246"/>
    <w:rsid w:val="00A41D77"/>
    <w:rsid w:val="00A41E77"/>
    <w:rsid w:val="00A5799D"/>
    <w:rsid w:val="00A61EDC"/>
    <w:rsid w:val="00A749FB"/>
    <w:rsid w:val="00A923E9"/>
    <w:rsid w:val="00AD368F"/>
    <w:rsid w:val="00AD62B8"/>
    <w:rsid w:val="00AF256F"/>
    <w:rsid w:val="00B01FA3"/>
    <w:rsid w:val="00B25396"/>
    <w:rsid w:val="00B3427E"/>
    <w:rsid w:val="00B763FE"/>
    <w:rsid w:val="00B9583A"/>
    <w:rsid w:val="00B97720"/>
    <w:rsid w:val="00BD4413"/>
    <w:rsid w:val="00BE184A"/>
    <w:rsid w:val="00C0202F"/>
    <w:rsid w:val="00C2149C"/>
    <w:rsid w:val="00CA6CEB"/>
    <w:rsid w:val="00CC258A"/>
    <w:rsid w:val="00CE00D5"/>
    <w:rsid w:val="00CE6199"/>
    <w:rsid w:val="00D406DD"/>
    <w:rsid w:val="00D540C1"/>
    <w:rsid w:val="00D776F9"/>
    <w:rsid w:val="00D86774"/>
    <w:rsid w:val="00DB2DCD"/>
    <w:rsid w:val="00DF2ED2"/>
    <w:rsid w:val="00DF5F99"/>
    <w:rsid w:val="00E0130F"/>
    <w:rsid w:val="00E035F5"/>
    <w:rsid w:val="00E4578B"/>
    <w:rsid w:val="00E57A84"/>
    <w:rsid w:val="00EC522D"/>
    <w:rsid w:val="00ED1462"/>
    <w:rsid w:val="00ED3D43"/>
    <w:rsid w:val="00EE527F"/>
    <w:rsid w:val="00EF2FC7"/>
    <w:rsid w:val="00F402DA"/>
    <w:rsid w:val="00F4226D"/>
    <w:rsid w:val="00F6597D"/>
    <w:rsid w:val="00F65D30"/>
    <w:rsid w:val="00F81768"/>
    <w:rsid w:val="00FA4E9D"/>
    <w:rsid w:val="00FA5F02"/>
    <w:rsid w:val="00FB5A24"/>
    <w:rsid w:val="00FC1A37"/>
    <w:rsid w:val="00FF05A0"/>
    <w:rsid w:val="00FF3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E860E"/>
  <w15:docId w15:val="{27356182-AE6B-448F-AAD4-85DEB87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02"/>
    <w:pPr>
      <w:spacing w:after="160" w:line="259" w:lineRule="auto"/>
    </w:pPr>
  </w:style>
  <w:style w:type="paragraph" w:styleId="1">
    <w:name w:val="heading 1"/>
    <w:basedOn w:val="a"/>
    <w:next w:val="a"/>
    <w:link w:val="1Char"/>
    <w:uiPriority w:val="9"/>
    <w:qFormat/>
    <w:rsid w:val="00492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0"/>
    <w:qFormat/>
    <w:rsid w:val="00031DAB"/>
    <w:pPr>
      <w:outlineLvl w:val="4"/>
    </w:pPr>
  </w:style>
  <w:style w:type="paragraph" w:styleId="6">
    <w:name w:val="heading 6"/>
    <w:basedOn w:val="a"/>
    <w:next w:val="a"/>
    <w:link w:val="6Char"/>
    <w:uiPriority w:val="9"/>
    <w:semiHidden/>
    <w:unhideWhenUsed/>
    <w:qFormat/>
    <w:rsid w:val="00A749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qFormat/>
    <w:rsid w:val="006F42E2"/>
  </w:style>
  <w:style w:type="character" w:customStyle="1" w:styleId="Char1">
    <w:name w:val="Σώμα κείμενου με εσοχή Char1"/>
    <w:basedOn w:val="a1"/>
    <w:link w:val="a5"/>
    <w:uiPriority w:val="99"/>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customStyle="1" w:styleId="11">
    <w:name w:val="Ανεπίλυτη αναφορά1"/>
    <w:basedOn w:val="a1"/>
    <w:uiPriority w:val="99"/>
    <w:semiHidden/>
    <w:unhideWhenUsed/>
    <w:qFormat/>
    <w:rsid w:val="00314ABE"/>
    <w:rPr>
      <w:color w:val="605E5C"/>
      <w:shd w:val="clear" w:color="auto" w:fill="E1DFDD"/>
    </w:rPr>
  </w:style>
  <w:style w:type="character" w:customStyle="1" w:styleId="5Char">
    <w:name w:val="Επικεφαλίδα 5 Char"/>
    <w:basedOn w:val="a1"/>
    <w:qFormat/>
    <w:rsid w:val="00031DAB"/>
    <w:rPr>
      <w:rFonts w:ascii="Tahoma" w:hAnsi="Tahoma" w:cs="Tahoma"/>
      <w:b/>
      <w:bCs/>
      <w:sz w:val="22"/>
      <w:szCs w:val="22"/>
      <w:u w:val="single"/>
    </w:rPr>
  </w:style>
  <w:style w:type="character" w:customStyle="1" w:styleId="3Char">
    <w:name w:val="Σώμα κείμενου με εσοχή 3 Char"/>
    <w:basedOn w:val="a1"/>
    <w:qFormat/>
    <w:rsid w:val="00031DAB"/>
    <w:rPr>
      <w:rFonts w:ascii="Tahoma" w:hAnsi="Tahoma" w:cs="Tahoma"/>
      <w:b/>
      <w:bCs/>
      <w:sz w:val="22"/>
      <w:szCs w:val="22"/>
    </w:rPr>
  </w:style>
  <w:style w:type="paragraph" w:customStyle="1" w:styleId="a0">
    <w:name w:val="Επικεφαλίδα"/>
    <w:basedOn w:val="a"/>
    <w:next w:val="a7"/>
    <w:qFormat/>
    <w:rsid w:val="00031DAB"/>
    <w:pPr>
      <w:keepNext/>
      <w:spacing w:before="240" w:after="120"/>
    </w:pPr>
    <w:rPr>
      <w:rFonts w:ascii="Liberation Sans" w:eastAsia="Microsoft YaHei" w:hAnsi="Liberation Sans" w:cs="Arial"/>
      <w:sz w:val="28"/>
      <w:szCs w:val="28"/>
    </w:rPr>
  </w:style>
  <w:style w:type="paragraph" w:styleId="a7">
    <w:name w:val="Body Text"/>
    <w:basedOn w:val="a"/>
    <w:rsid w:val="00031DAB"/>
    <w:pPr>
      <w:spacing w:after="140" w:line="276" w:lineRule="auto"/>
    </w:pPr>
  </w:style>
  <w:style w:type="paragraph" w:styleId="a8">
    <w:name w:val="List"/>
    <w:basedOn w:val="a7"/>
    <w:rsid w:val="00031DAB"/>
    <w:rPr>
      <w:rFonts w:cs="Arial"/>
    </w:rPr>
  </w:style>
  <w:style w:type="paragraph" w:styleId="a9">
    <w:name w:val="caption"/>
    <w:basedOn w:val="a"/>
    <w:qFormat/>
    <w:rsid w:val="00031DAB"/>
    <w:pPr>
      <w:suppressLineNumbers/>
      <w:spacing w:before="120" w:after="120"/>
    </w:pPr>
    <w:rPr>
      <w:rFonts w:cs="Arial"/>
      <w:i/>
      <w:iCs/>
      <w:sz w:val="24"/>
      <w:szCs w:val="24"/>
    </w:rPr>
  </w:style>
  <w:style w:type="paragraph" w:customStyle="1" w:styleId="aa">
    <w:name w:val="Ευρετήριο"/>
    <w:basedOn w:val="a"/>
    <w:qFormat/>
    <w:rsid w:val="00031DAB"/>
    <w:pPr>
      <w:suppressLineNumbers/>
    </w:pPr>
    <w:rPr>
      <w:rFonts w:cs="Arial"/>
    </w:rPr>
  </w:style>
  <w:style w:type="paragraph" w:customStyle="1" w:styleId="ab">
    <w:name w:val="Κεφαλίδα και υποσέλιδο"/>
    <w:basedOn w:val="a"/>
    <w:qFormat/>
    <w:rsid w:val="00031DAB"/>
  </w:style>
  <w:style w:type="paragraph" w:styleId="a4">
    <w:name w:val="header"/>
    <w:basedOn w:val="a"/>
    <w:link w:val="Char"/>
    <w:uiPriority w:val="99"/>
    <w:unhideWhenUsed/>
    <w:rsid w:val="006F42E2"/>
    <w:pPr>
      <w:tabs>
        <w:tab w:val="center" w:pos="4153"/>
        <w:tab w:val="right" w:pos="8306"/>
      </w:tabs>
      <w:spacing w:after="0" w:line="240" w:lineRule="auto"/>
    </w:pPr>
  </w:style>
  <w:style w:type="paragraph" w:styleId="ac">
    <w:name w:val="footer"/>
    <w:basedOn w:val="a"/>
    <w:uiPriority w:val="99"/>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d">
    <w:name w:val="List Paragraph"/>
    <w:aliases w:val="Diligence Check"/>
    <w:basedOn w:val="a"/>
    <w:link w:val="Char2"/>
    <w:uiPriority w:val="34"/>
    <w:qFormat/>
    <w:rsid w:val="00B9680C"/>
    <w:pPr>
      <w:ind w:left="720"/>
      <w:contextualSpacing/>
    </w:pPr>
  </w:style>
  <w:style w:type="paragraph" w:customStyle="1" w:styleId="ae">
    <w:name w:val="Περιεχόμενα πλαισίου"/>
    <w:basedOn w:val="a"/>
    <w:qFormat/>
    <w:rsid w:val="00031DAB"/>
  </w:style>
  <w:style w:type="paragraph" w:customStyle="1" w:styleId="12">
    <w:name w:val="Κανονικός πίνακας1"/>
    <w:qFormat/>
    <w:rsid w:val="00031DAB"/>
    <w:rPr>
      <w:rFonts w:ascii="Times New Roman" w:eastAsia="Courier New" w:hAnsi="Times New Roman" w:cs="Times New Roman"/>
      <w:sz w:val="20"/>
      <w:szCs w:val="20"/>
      <w:lang w:eastAsia="el-GR"/>
    </w:rPr>
  </w:style>
  <w:style w:type="paragraph" w:styleId="3">
    <w:name w:val="Body Text Indent 3"/>
    <w:basedOn w:val="a"/>
    <w:qFormat/>
    <w:rsid w:val="00031DAB"/>
    <w:pPr>
      <w:ind w:hanging="57"/>
      <w:jc w:val="both"/>
    </w:pPr>
    <w:rPr>
      <w:rFonts w:ascii="Tahoma" w:hAnsi="Tahoma" w:cs="Tahoma"/>
      <w:b/>
      <w:bCs/>
    </w:rPr>
  </w:style>
  <w:style w:type="paragraph" w:customStyle="1" w:styleId="2">
    <w:name w:val="Παράγραφος λίστας2"/>
    <w:basedOn w:val="a"/>
    <w:qFormat/>
    <w:rsid w:val="00031DAB"/>
    <w:pPr>
      <w:ind w:left="720"/>
      <w:contextualSpacing/>
    </w:pPr>
  </w:style>
  <w:style w:type="table" w:styleId="af">
    <w:name w:val="Table Grid"/>
    <w:basedOn w:val="a2"/>
    <w:uiPriority w:val="59"/>
    <w:rsid w:val="006F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Char3"/>
    <w:uiPriority w:val="99"/>
    <w:semiHidden/>
    <w:unhideWhenUsed/>
    <w:rsid w:val="007E2D5A"/>
    <w:pPr>
      <w:spacing w:after="0" w:line="240" w:lineRule="auto"/>
    </w:pPr>
    <w:rPr>
      <w:rFonts w:ascii="Segoe UI" w:hAnsi="Segoe UI" w:cs="Segoe UI"/>
      <w:sz w:val="18"/>
      <w:szCs w:val="18"/>
    </w:rPr>
  </w:style>
  <w:style w:type="character" w:customStyle="1" w:styleId="Char3">
    <w:name w:val="Κείμενο πλαισίου Char"/>
    <w:basedOn w:val="a1"/>
    <w:link w:val="af0"/>
    <w:uiPriority w:val="99"/>
    <w:semiHidden/>
    <w:rsid w:val="007E2D5A"/>
    <w:rPr>
      <w:rFonts w:ascii="Segoe UI" w:hAnsi="Segoe UI" w:cs="Segoe UI"/>
      <w:sz w:val="18"/>
      <w:szCs w:val="18"/>
    </w:rPr>
  </w:style>
  <w:style w:type="character" w:customStyle="1" w:styleId="1Char">
    <w:name w:val="Επικεφαλίδα 1 Char"/>
    <w:basedOn w:val="a1"/>
    <w:link w:val="1"/>
    <w:uiPriority w:val="9"/>
    <w:rsid w:val="00492137"/>
    <w:rPr>
      <w:rFonts w:asciiTheme="majorHAnsi" w:eastAsiaTheme="majorEastAsia" w:hAnsiTheme="majorHAnsi" w:cstheme="majorBidi"/>
      <w:b/>
      <w:bCs/>
      <w:color w:val="2E74B5" w:themeColor="accent1" w:themeShade="BF"/>
      <w:sz w:val="28"/>
      <w:szCs w:val="28"/>
    </w:rPr>
  </w:style>
  <w:style w:type="character" w:styleId="af1">
    <w:name w:val="Intense Emphasis"/>
    <w:qFormat/>
    <w:rsid w:val="00492137"/>
    <w:rPr>
      <w:b/>
      <w:bCs/>
    </w:rPr>
  </w:style>
  <w:style w:type="paragraph" w:customStyle="1" w:styleId="af2">
    <w:name w:val="Περιεχόμενα πίνακα"/>
    <w:basedOn w:val="a"/>
    <w:qFormat/>
    <w:rsid w:val="00492137"/>
    <w:pPr>
      <w:widowControl w:val="0"/>
      <w:suppressLineNumbers/>
      <w:spacing w:after="0" w:line="240" w:lineRule="auto"/>
    </w:pPr>
    <w:rPr>
      <w:rFonts w:ascii="Times New Roman" w:eastAsia="Andale Sans UI" w:hAnsi="Times New Roman" w:cs="Tahoma"/>
      <w:sz w:val="24"/>
      <w:szCs w:val="24"/>
      <w:lang w:val="en-US" w:bidi="en-US"/>
    </w:rPr>
  </w:style>
  <w:style w:type="character" w:styleId="af3">
    <w:name w:val="Strong"/>
    <w:uiPriority w:val="22"/>
    <w:qFormat/>
    <w:rsid w:val="009A6DB4"/>
    <w:rPr>
      <w:b/>
      <w:bCs/>
    </w:rPr>
  </w:style>
  <w:style w:type="paragraph" w:customStyle="1" w:styleId="Standard">
    <w:name w:val="Standard"/>
    <w:rsid w:val="009A6DB4"/>
    <w:pPr>
      <w:widowControl w:val="0"/>
      <w:textAlignment w:val="baseline"/>
    </w:pPr>
    <w:rPr>
      <w:rFonts w:ascii="Times New Roman" w:eastAsia="SimSun" w:hAnsi="Times New Roman" w:cs="Lucida Sans"/>
      <w:kern w:val="2"/>
      <w:sz w:val="24"/>
      <w:szCs w:val="24"/>
      <w:lang w:eastAsia="zh-CN" w:bidi="hi-IN"/>
    </w:rPr>
  </w:style>
  <w:style w:type="paragraph" w:customStyle="1" w:styleId="Default">
    <w:name w:val="Default"/>
    <w:rsid w:val="0024216A"/>
    <w:pPr>
      <w:suppressAutoHyphens w:val="0"/>
      <w:autoSpaceDE w:val="0"/>
      <w:autoSpaceDN w:val="0"/>
      <w:adjustRightInd w:val="0"/>
    </w:pPr>
    <w:rPr>
      <w:rFonts w:ascii="Calibri" w:hAnsi="Calibri" w:cs="Calibri"/>
      <w:color w:val="000000"/>
      <w:sz w:val="24"/>
      <w:szCs w:val="24"/>
    </w:rPr>
  </w:style>
  <w:style w:type="character" w:customStyle="1" w:styleId="6Char">
    <w:name w:val="Επικεφαλίδα 6 Char"/>
    <w:basedOn w:val="a1"/>
    <w:link w:val="6"/>
    <w:uiPriority w:val="9"/>
    <w:semiHidden/>
    <w:rsid w:val="00A749FB"/>
    <w:rPr>
      <w:rFonts w:asciiTheme="majorHAnsi" w:eastAsiaTheme="majorEastAsia" w:hAnsiTheme="majorHAnsi" w:cstheme="majorBidi"/>
      <w:color w:val="1F4D78" w:themeColor="accent1" w:themeShade="7F"/>
    </w:rPr>
  </w:style>
  <w:style w:type="character" w:customStyle="1" w:styleId="Char2">
    <w:name w:val="Παράγραφος λίστας Char"/>
    <w:aliases w:val="Diligence Check Char"/>
    <w:basedOn w:val="a1"/>
    <w:link w:val="ad"/>
    <w:uiPriority w:val="34"/>
    <w:locked/>
    <w:rsid w:val="006A709D"/>
  </w:style>
  <w:style w:type="paragraph" w:customStyle="1" w:styleId="Tabletext">
    <w:name w:val="Table text"/>
    <w:basedOn w:val="a"/>
    <w:rsid w:val="006A709D"/>
    <w:pPr>
      <w:widowControl w:val="0"/>
      <w:suppressAutoHyphens w:val="0"/>
      <w:spacing w:after="0" w:line="240" w:lineRule="auto"/>
      <w:ind w:left="113"/>
    </w:pPr>
    <w:rPr>
      <w:rFonts w:ascii="Tahoma" w:eastAsia="Times New Roman" w:hAnsi="Tahoma" w:cs="Times New Roman"/>
      <w:sz w:val="2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810">
      <w:bodyDiv w:val="1"/>
      <w:marLeft w:val="0"/>
      <w:marRight w:val="0"/>
      <w:marTop w:val="0"/>
      <w:marBottom w:val="0"/>
      <w:divBdr>
        <w:top w:val="none" w:sz="0" w:space="0" w:color="auto"/>
        <w:left w:val="none" w:sz="0" w:space="0" w:color="auto"/>
        <w:bottom w:val="none" w:sz="0" w:space="0" w:color="auto"/>
        <w:right w:val="none" w:sz="0" w:space="0" w:color="auto"/>
      </w:divBdr>
    </w:div>
    <w:div w:id="1556892553">
      <w:bodyDiv w:val="1"/>
      <w:marLeft w:val="0"/>
      <w:marRight w:val="0"/>
      <w:marTop w:val="0"/>
      <w:marBottom w:val="0"/>
      <w:divBdr>
        <w:top w:val="none" w:sz="0" w:space="0" w:color="auto"/>
        <w:left w:val="none" w:sz="0" w:space="0" w:color="auto"/>
        <w:bottom w:val="none" w:sz="0" w:space="0" w:color="auto"/>
        <w:right w:val="none" w:sz="0" w:space="0" w:color="auto"/>
      </w:divBdr>
    </w:div>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DC48-22B2-46B4-B060-40638960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7065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ΤΖΗΜΑ</cp:lastModifiedBy>
  <cp:revision>2</cp:revision>
  <cp:lastPrinted>2024-02-09T08:31:00Z</cp:lastPrinted>
  <dcterms:created xsi:type="dcterms:W3CDTF">2024-02-22T11:55:00Z</dcterms:created>
  <dcterms:modified xsi:type="dcterms:W3CDTF">2024-02-22T11:55:00Z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