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529"/>
        <w:gridCol w:w="1084"/>
        <w:gridCol w:w="1322"/>
        <w:gridCol w:w="1988"/>
      </w:tblGrid>
      <w:tr w:rsidR="00537D47" w:rsidRPr="00537D47" w:rsidTr="00537D47">
        <w:trPr>
          <w:jc w:val="center"/>
        </w:trPr>
        <w:tc>
          <w:tcPr>
            <w:tcW w:w="9923" w:type="dxa"/>
            <w:gridSpan w:val="4"/>
          </w:tcPr>
          <w:p w:rsidR="00537D47" w:rsidRPr="00537D47" w:rsidRDefault="00537D47" w:rsidP="00E03623">
            <w:pPr>
              <w:ind w:left="360"/>
              <w:jc w:val="center"/>
              <w:rPr>
                <w:rFonts w:asciiTheme="minorHAnsi" w:hAnsiTheme="minorHAnsi" w:cstheme="minorHAnsi"/>
                <w:bCs/>
                <w:szCs w:val="22"/>
                <w:u w:val="single"/>
                <w:lang w:val="el-GR" w:eastAsia="ar-SA"/>
              </w:rPr>
            </w:pPr>
            <w:bookmarkStart w:id="0" w:name="_GoBack"/>
            <w:bookmarkEnd w:id="0"/>
            <w:proofErr w:type="spellStart"/>
            <w:r w:rsidRPr="003107F1">
              <w:rPr>
                <w:rFonts w:asciiTheme="minorHAnsi" w:hAnsiTheme="minorHAnsi" w:cstheme="minorHAnsi"/>
                <w:b/>
                <w:bCs/>
                <w:szCs w:val="20"/>
              </w:rPr>
              <w:t>ΠΑΡΑΡΤΗΜΑ</w:t>
            </w:r>
            <w:proofErr w:type="spellEnd"/>
            <w:r w:rsidRPr="003107F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proofErr w:type="spellStart"/>
            <w:r w:rsidRPr="003107F1">
              <w:rPr>
                <w:rFonts w:asciiTheme="minorHAnsi" w:hAnsiTheme="minorHAnsi" w:cstheme="minorHAnsi"/>
                <w:b/>
                <w:bCs/>
                <w:szCs w:val="20"/>
              </w:rPr>
              <w:t>ΙΙ</w:t>
            </w:r>
            <w:proofErr w:type="spellEnd"/>
            <w:r w:rsidRPr="003107F1">
              <w:rPr>
                <w:rFonts w:asciiTheme="minorHAnsi" w:hAnsiTheme="minorHAnsi" w:cstheme="minorHAnsi"/>
                <w:b/>
                <w:bCs/>
                <w:szCs w:val="20"/>
              </w:rPr>
              <w:t xml:space="preserve"> – </w:t>
            </w:r>
            <w:proofErr w:type="spellStart"/>
            <w:r w:rsidRPr="003107F1">
              <w:rPr>
                <w:rFonts w:asciiTheme="minorHAnsi" w:hAnsiTheme="minorHAnsi" w:cstheme="minorHAnsi"/>
                <w:b/>
                <w:bCs/>
                <w:szCs w:val="20"/>
              </w:rPr>
              <w:t>ΦΥΛΛΟ</w:t>
            </w:r>
            <w:proofErr w:type="spellEnd"/>
            <w:r w:rsidRPr="003107F1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proofErr w:type="spellStart"/>
            <w:r w:rsidRPr="003107F1">
              <w:rPr>
                <w:rFonts w:asciiTheme="minorHAnsi" w:hAnsiTheme="minorHAnsi" w:cstheme="minorHAnsi"/>
                <w:b/>
                <w:bCs/>
                <w:szCs w:val="20"/>
              </w:rPr>
              <w:t>ΣΥΜΜΟΡΦΩΣΗΣ</w:t>
            </w:r>
            <w:proofErr w:type="spellEnd"/>
          </w:p>
        </w:tc>
      </w:tr>
      <w:tr w:rsidR="00537D47" w:rsidRPr="00537D47" w:rsidTr="00E03623">
        <w:trPr>
          <w:jc w:val="center"/>
        </w:trPr>
        <w:tc>
          <w:tcPr>
            <w:tcW w:w="5529" w:type="dxa"/>
            <w:vAlign w:val="center"/>
          </w:tcPr>
          <w:p w:rsidR="00537D47" w:rsidRPr="00E03623" w:rsidRDefault="00537D47" w:rsidP="00E036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6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ΤΕΧΝΙΚΕΣ ΠΡΟΔΙΑΓΡΑΦΕΣ - ΕΙΔΙΚΟΙ ΟΡΟΙ ΤΟΥ ΔΙΑΓΩΝΙΣΜΟΥ</w:t>
            </w:r>
          </w:p>
        </w:tc>
        <w:tc>
          <w:tcPr>
            <w:tcW w:w="1084" w:type="dxa"/>
            <w:vAlign w:val="center"/>
          </w:tcPr>
          <w:p w:rsidR="00537D47" w:rsidRPr="00F00879" w:rsidRDefault="00537D47" w:rsidP="00E036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ΑΠΑΙΤΗΣΗ</w:t>
            </w:r>
            <w:proofErr w:type="spellEnd"/>
          </w:p>
        </w:tc>
        <w:tc>
          <w:tcPr>
            <w:tcW w:w="1322" w:type="dxa"/>
            <w:vAlign w:val="center"/>
          </w:tcPr>
          <w:p w:rsidR="00537D47" w:rsidRPr="00F00879" w:rsidRDefault="00537D47" w:rsidP="00E036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ΑΠΑΝΤΗΣΗ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ΥΠΟΨΗΦΙΟΥ</w:t>
            </w:r>
            <w:proofErr w:type="spellEnd"/>
          </w:p>
        </w:tc>
        <w:tc>
          <w:tcPr>
            <w:tcW w:w="1988" w:type="dxa"/>
            <w:vAlign w:val="center"/>
          </w:tcPr>
          <w:p w:rsidR="00537D47" w:rsidRPr="00537D47" w:rsidRDefault="00537D47" w:rsidP="00E036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537D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 xml:space="preserve">ΠΑΡΑΠΟΜΠΗ ΣΕ ΤΕΧΝΙΚΑ ΕΓΧΕΙΡΙΔΙΑ Ή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PROSPECTUS</w:t>
            </w:r>
          </w:p>
        </w:tc>
      </w:tr>
      <w:tr w:rsidR="00537D47" w:rsidRPr="00537D47" w:rsidTr="00537D47">
        <w:trPr>
          <w:jc w:val="center"/>
        </w:trPr>
        <w:tc>
          <w:tcPr>
            <w:tcW w:w="9923" w:type="dxa"/>
            <w:gridSpan w:val="4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u w:val="single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Cs w:val="22"/>
                <w:u w:val="single"/>
                <w:lang w:val="el-GR" w:eastAsia="ar-SA"/>
              </w:rPr>
              <w:t>Σύστημα Μέτρησης Ιόντων Χλωρίου για Διάγνωση Κυστικής Ίνωσης (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Cs w:val="22"/>
                <w:u w:val="single"/>
                <w:lang w:val="el-GR" w:eastAsia="ar-SA"/>
              </w:rPr>
              <w:t>Χλωριδόμετρο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Cs w:val="22"/>
                <w:u w:val="single"/>
                <w:lang w:val="el-GR" w:eastAsia="ar-SA"/>
              </w:rPr>
              <w:t>)</w:t>
            </w: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Σύστημα για ποσοτικό προσδιορισμό ιόντων χλωρίου σε δείγματα ιδρώτα με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τιτλοποίηση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κουλομετρίας</w:t>
            </w:r>
            <w:proofErr w:type="spellEnd"/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Να απαιτεί μικρή ποσότητα ιδρώτα μέχρι 10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ml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Το αποτέλεσμα της μέτρησης να δίνεται άμεσα, σε λιγότερο των 30’’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Η συσκευή είναι εύκολη στη χρήση και να διαθέτει μεγάλη οθόνη αφής με εύχρηστο μενού που να καθοδηγεί το χρήστη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Οι ενδείξεις της συγκέντρωσης να γίνονται κατευθείαν σε 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mmol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/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L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Cl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-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Να καλύπτει εύρος μετρήσεων 10-160 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mmol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/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L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και να διαθέτει υψηλή διακριτική ικανότητα της τάξεως του 1 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mmol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/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L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Το σύστημα να μπορεί να χρησιμοποιηθεί με σετ αντιδραστηρίων του ίδιου κατασκευαστικού οίκου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Η συντήρηση της συσκευής να είναι απλή και τα ηλεκτρόδια να είναι εύκολα αποσπώμενα 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1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Η συσκευή να είναι μικρών διαστάσεων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E03623" w:rsidRPr="00537D47" w:rsidTr="00247524">
        <w:trPr>
          <w:jc w:val="center"/>
        </w:trPr>
        <w:tc>
          <w:tcPr>
            <w:tcW w:w="9923" w:type="dxa"/>
            <w:gridSpan w:val="4"/>
          </w:tcPr>
          <w:p w:rsidR="00E03623" w:rsidRPr="00537D47" w:rsidRDefault="00E03623" w:rsidP="00E03623">
            <w:pPr>
              <w:ind w:left="360"/>
              <w:rPr>
                <w:bCs/>
                <w:szCs w:val="22"/>
                <w:u w:val="single"/>
                <w:lang w:val="el-GR" w:eastAsia="ar-SA"/>
              </w:rPr>
            </w:pPr>
            <w:r w:rsidRPr="00537D47">
              <w:rPr>
                <w:bCs/>
                <w:szCs w:val="22"/>
                <w:u w:val="single"/>
                <w:lang w:val="el-GR" w:eastAsia="ar-SA"/>
              </w:rPr>
              <w:t>Σύστημα Επαγωγής και Συλλογής Ιδρώτα για Διάγνωση Κυστικής Ίνωσης</w:t>
            </w: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Το σύστημα να αποτελείται από τη συσκευή επαγωγής ιδρώτα με σύστημα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ιοντοφόρησης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πιλοκαρπίνης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, σετ κατάλληλων ηλεκτροδίων, ειδική βελόνα για τη μεταφορά του ιδρώτα και σετ προσαρμοζόμενων ιμάντων για πρόσδεση στο χέρι των συμβατών με τη συσκευή συλλογέων ιδρώτα.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Η συσκευή να διαθέτει εύκολη στη χρήση οθόνη αφής, με ενσωματωμένες οδηγίες χρήσης με γραφικά για εύκολη καθοδήγηση των βημάτων επαγωγής και συλλογής ιδρώτα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Να διαθέτει ενσωματωμένο χρονόμετρο για μέτρηση του χρόνου συλλογής, ο οποίος να μην ξεπερνά τα 30 λεπτά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Να είναι μικρών διαστάσεων και βάρους (μικρότερου των 2,5 κιλών )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Να δίνει τη δυνατότητα εξαγωγής μέσω 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n-US" w:eastAsia="ar-SA"/>
              </w:rPr>
              <w:t>USB</w:t>
            </w: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των δεδομένων του τεστ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Τα ηλεκτρόδια που συνοδεύουν τη συσκευή να έχουν σήμανση με διαφορετικό χρώμα για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αοφυγή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λάθους και να μην επιτρέπουν έναρξη της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ιοντοφόρησης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απουσία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πιλοκαρπίνης</w:t>
            </w:r>
            <w:proofErr w:type="spellEnd"/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Οι χρησιμοποιούμενοι ιμάντες να έχουν δυνατότητα επαναχρησιμοποίησης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  <w:tr w:rsidR="00537D47" w:rsidRPr="00537D47" w:rsidTr="00537D47">
        <w:trPr>
          <w:jc w:val="center"/>
        </w:trPr>
        <w:tc>
          <w:tcPr>
            <w:tcW w:w="5529" w:type="dxa"/>
          </w:tcPr>
          <w:p w:rsidR="00537D47" w:rsidRPr="00537D47" w:rsidRDefault="00537D47" w:rsidP="00E03623">
            <w:pPr>
              <w:pStyle w:val="a3"/>
              <w:numPr>
                <w:ilvl w:val="0"/>
                <w:numId w:val="2"/>
              </w:numPr>
              <w:ind w:left="318" w:hanging="28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</w:pPr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lastRenderedPageBreak/>
              <w:t xml:space="preserve">Το σύστημα να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μορεί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να χρησιμοποιηθεί με σετ αναλωσίμων του ίδιου κατασκευαστικού οίκου που να διαθέτει όλα τα απαραίτητα για τη συλλογή ιδρώτα (συλλογείς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εργονομκού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 xml:space="preserve"> ελλειπτικού σχήματος για δυνατότητα εφαρμογής και σε νεογνά και δίσκους </w:t>
            </w:r>
            <w:proofErr w:type="spellStart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πιλοκαρπίνης</w:t>
            </w:r>
            <w:proofErr w:type="spellEnd"/>
            <w:r w:rsidRPr="00537D47">
              <w:rPr>
                <w:rFonts w:asciiTheme="minorHAnsi" w:hAnsiTheme="minorHAnsi" w:cstheme="minorHAnsi"/>
                <w:bCs/>
                <w:sz w:val="22"/>
                <w:szCs w:val="22"/>
                <w:lang w:val="el-GR" w:eastAsia="ar-SA"/>
              </w:rPr>
              <w:t>)</w:t>
            </w:r>
          </w:p>
        </w:tc>
        <w:tc>
          <w:tcPr>
            <w:tcW w:w="1084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322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  <w:tc>
          <w:tcPr>
            <w:tcW w:w="1988" w:type="dxa"/>
          </w:tcPr>
          <w:p w:rsidR="00537D47" w:rsidRPr="00537D47" w:rsidRDefault="00537D47" w:rsidP="00E03623">
            <w:pPr>
              <w:ind w:left="360"/>
              <w:rPr>
                <w:rFonts w:asciiTheme="minorHAnsi" w:hAnsiTheme="minorHAnsi" w:cstheme="minorHAnsi"/>
                <w:bCs/>
                <w:szCs w:val="22"/>
                <w:lang w:val="el-GR" w:eastAsia="ar-SA"/>
              </w:rPr>
            </w:pPr>
          </w:p>
        </w:tc>
      </w:tr>
    </w:tbl>
    <w:p w:rsidR="00537D47" w:rsidRPr="00DD1C55" w:rsidRDefault="00537D47" w:rsidP="00E03623">
      <w:pPr>
        <w:spacing w:after="0"/>
        <w:rPr>
          <w:bCs/>
          <w:szCs w:val="22"/>
          <w:lang w:val="el-GR" w:eastAsia="ar-SA"/>
        </w:rPr>
      </w:pPr>
    </w:p>
    <w:p w:rsidR="00F323D1" w:rsidRPr="00537D47" w:rsidRDefault="00F323D1">
      <w:pPr>
        <w:rPr>
          <w:lang w:val="el-GR"/>
        </w:rPr>
      </w:pPr>
    </w:p>
    <w:sectPr w:rsidR="00F323D1" w:rsidRPr="00537D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E66"/>
    <w:multiLevelType w:val="hybridMultilevel"/>
    <w:tmpl w:val="2CEEF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1F31"/>
    <w:multiLevelType w:val="hybridMultilevel"/>
    <w:tmpl w:val="B1C683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D44"/>
    <w:multiLevelType w:val="hybridMultilevel"/>
    <w:tmpl w:val="3ABCA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7"/>
    <w:rsid w:val="00537D47"/>
    <w:rsid w:val="00745CE5"/>
    <w:rsid w:val="00E03623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CF0F-8B91-4811-BEC8-303705B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D4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"/>
    <w:basedOn w:val="a"/>
    <w:link w:val="Char"/>
    <w:uiPriority w:val="34"/>
    <w:qFormat/>
    <w:rsid w:val="00537D4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har">
    <w:name w:val="Παράγραφος λίστας Char"/>
    <w:aliases w:val="Γράφημα Char"/>
    <w:link w:val="a3"/>
    <w:uiPriority w:val="34"/>
    <w:locked/>
    <w:rsid w:val="00537D47"/>
    <w:rPr>
      <w:rFonts w:ascii="Times New Roman" w:eastAsia="Times New Roman" w:hAnsi="Times New Roman" w:cs="Times New Roman"/>
      <w:sz w:val="20"/>
      <w:szCs w:val="20"/>
      <w:lang w:val="x-none"/>
    </w:rPr>
  </w:style>
  <w:style w:type="table" w:styleId="a4">
    <w:name w:val="Table Grid"/>
    <w:basedOn w:val="a1"/>
    <w:uiPriority w:val="39"/>
    <w:rsid w:val="0053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2024-02-19T07:19:00Z</dcterms:created>
  <dcterms:modified xsi:type="dcterms:W3CDTF">2024-02-19T07:19:00Z</dcterms:modified>
</cp:coreProperties>
</file>